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</w:t>
            </w:r>
            <w:proofErr w:type="gramEnd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цели)   </w:t>
            </w:r>
            <w:proofErr w:type="gramEnd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proofErr w:type="gramStart"/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3B5B96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5C2F05" w:rsidRDefault="005C2F05" w:rsidP="0056088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F05">
              <w:rPr>
                <w:rFonts w:ascii="Times New Roman" w:eastAsia="Calibri" w:hAnsi="Times New Roman" w:cs="Times New Roman"/>
                <w:sz w:val="24"/>
                <w:szCs w:val="24"/>
              </w:rPr>
              <w:t>22052,0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560888" w:rsidRDefault="005C2F05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F05">
              <w:rPr>
                <w:rFonts w:ascii="Times New Roman" w:eastAsia="Calibri" w:hAnsi="Times New Roman" w:cs="Times New Roman"/>
                <w:sz w:val="24"/>
                <w:szCs w:val="24"/>
              </w:rPr>
              <w:t>15534,0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1957EA" w:rsidRPr="00271A79" w:rsidTr="003B5B96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5C2F05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2F05">
              <w:rPr>
                <w:rFonts w:ascii="Times New Roman" w:hAnsi="Times New Roman" w:cs="Times New Roman"/>
                <w:sz w:val="24"/>
                <w:szCs w:val="24"/>
              </w:rPr>
              <w:t>389681,0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5C2F05" w:rsidP="00863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2F05">
              <w:rPr>
                <w:rFonts w:ascii="Times New Roman" w:hAnsi="Times New Roman" w:cs="Times New Roman"/>
                <w:sz w:val="24"/>
                <w:szCs w:val="24"/>
              </w:rPr>
              <w:t>85170,5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513BAA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1957EA" w:rsidRPr="00271A79" w:rsidTr="003B5B96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5C2F05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2F05">
              <w:rPr>
                <w:rFonts w:ascii="Times New Roman" w:hAnsi="Times New Roman" w:cs="Times New Roman"/>
                <w:sz w:val="24"/>
                <w:szCs w:val="24"/>
              </w:rPr>
              <w:t>411733,0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5C2F05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2F05">
              <w:rPr>
                <w:rFonts w:ascii="Times New Roman" w:hAnsi="Times New Roman" w:cs="Times New Roman"/>
                <w:sz w:val="24"/>
                <w:szCs w:val="24"/>
              </w:rPr>
              <w:t>100704,5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513BAA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услуг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4. Снижение среднего числа обращений представителей бизнес-сообщества в орган местного самоуправления Сергиево-Посадского муниципального района, МФЦ для получения одной государственной (муниципальной) услуги, связанной со сферой предпринимательской деятельности, до 1,5 единиц.</w:t>
            </w:r>
          </w:p>
          <w:p w:rsidR="00863CCE" w:rsidRPr="006E12C0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046DF0">
              <w:rPr>
                <w:rFonts w:ascii="Times New Roman" w:hAnsi="Times New Roman" w:cs="Times New Roman"/>
                <w:sz w:val="24"/>
                <w:szCs w:val="24"/>
              </w:rPr>
              <w:t>среднего времени</w:t>
            </w:r>
            <w:r w:rsidR="00046DF0" w:rsidRPr="00046DF0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для получения государственных и муниципальных услуг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6. Увеличение доли государственных, муниципальных и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863CCE" w:rsidRPr="00B4282A" w:rsidRDefault="00156DD9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Сокращение 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Pr="00156DD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proofErr w:type="gramStart"/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</w:t>
      </w:r>
      <w:proofErr w:type="gramEnd"/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proofErr w:type="gramStart"/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</w:t>
      </w:r>
      <w:proofErr w:type="gramEnd"/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</w:t>
      </w:r>
      <w:r w:rsidRPr="006A65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8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81684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rPr>
          <w:trHeight w:val="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807F1" w:rsidP="00BF32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07F1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</w:t>
            </w: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949"/>
        <w:gridCol w:w="3909"/>
        <w:gridCol w:w="849"/>
        <w:gridCol w:w="710"/>
        <w:gridCol w:w="1192"/>
        <w:gridCol w:w="664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Увеличение доли обращений в МФЦ за получением государственных услуг исполнительных органов государственной </w:t>
            </w:r>
            <w:proofErr w:type="gramStart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власти  и</w:t>
            </w:r>
            <w:proofErr w:type="gramEnd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5C2F05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5C2F05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</w:t>
            </w:r>
            <w:proofErr w:type="spellEnd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5C2F05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98" w:type="pct"/>
          </w:tcPr>
          <w:p w:rsidR="00F27544" w:rsidRPr="00A32E8D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социологических исследований мнения представителей бизнес-сообщества по каждой услуге, связанной со сферой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редпринимательской деятельности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7807F1" w:rsidP="008219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807F1">
              <w:rPr>
                <w:rFonts w:ascii="Times New Roman" w:hAnsi="Times New Roman"/>
                <w:sz w:val="18"/>
              </w:rPr>
              <w:t>Среднее время ожидания в очереди для получения государственных и муниципальных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>Ti</w:t>
            </w:r>
            <w:proofErr w:type="spellEnd"/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5C2F05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544">
              <w:rPr>
                <w:rFonts w:ascii="Times New Roman" w:hAnsi="Times New Roman"/>
                <w:sz w:val="18"/>
                <w:szCs w:val="18"/>
              </w:rPr>
              <w:t>Умсп</w:t>
            </w:r>
            <w:proofErr w:type="spellEnd"/>
            <w:r w:rsidRPr="00F27544">
              <w:rPr>
                <w:rFonts w:ascii="Times New Roman" w:hAnsi="Times New Roman"/>
                <w:sz w:val="18"/>
                <w:szCs w:val="18"/>
              </w:rPr>
              <w:t xml:space="preserve">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544">
              <w:rPr>
                <w:rFonts w:ascii="Times New Roman" w:hAnsi="Times New Roman"/>
                <w:sz w:val="18"/>
                <w:szCs w:val="18"/>
              </w:rPr>
              <w:t>Пмсп</w:t>
            </w:r>
            <w:proofErr w:type="spellEnd"/>
            <w:r w:rsidRPr="00F27544">
              <w:rPr>
                <w:rFonts w:ascii="Times New Roman" w:hAnsi="Times New Roman"/>
                <w:sz w:val="18"/>
                <w:szCs w:val="18"/>
              </w:rPr>
              <w:t xml:space="preserve">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расчете показателя доля заявителей, ожидающих в очереди более 12,5 минут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0"/>
      <w:bookmarkEnd w:id="0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6A65FE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6A65FE">
        <w:rPr>
          <w:rFonts w:ascii="Times New Roman" w:hAnsi="Times New Roman" w:cs="Times New Roman"/>
          <w:sz w:val="24"/>
          <w:szCs w:val="24"/>
        </w:rPr>
        <w:t xml:space="preserve">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</w:t>
      </w:r>
      <w:proofErr w:type="gramStart"/>
      <w:r w:rsidRPr="006A65FE">
        <w:rPr>
          <w:rFonts w:ascii="Times New Roman" w:hAnsi="Times New Roman" w:cs="Times New Roman"/>
          <w:sz w:val="24"/>
          <w:szCs w:val="24"/>
        </w:rPr>
        <w:t>плановый  период</w:t>
      </w:r>
      <w:proofErr w:type="gramEnd"/>
      <w:r w:rsidRPr="006A65FE">
        <w:rPr>
          <w:rFonts w:ascii="Times New Roman" w:hAnsi="Times New Roman" w:cs="Times New Roman"/>
          <w:sz w:val="24"/>
          <w:szCs w:val="24"/>
        </w:rPr>
        <w:t xml:space="preserve">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1"/>
      <w:bookmarkEnd w:id="1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10) готовит и представляет координатору муниципальной программы и в управление </w:t>
      </w:r>
      <w:r w:rsidRPr="006A65FE">
        <w:rPr>
          <w:rFonts w:ascii="Times New Roman" w:hAnsi="Times New Roman" w:cs="Times New Roman"/>
          <w:sz w:val="24"/>
          <w:szCs w:val="24"/>
        </w:rPr>
        <w:lastRenderedPageBreak/>
        <w:t>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реализации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7F2973" w:rsidRDefault="007F2973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7F2973" w:rsidRPr="00B51927" w:rsidRDefault="007F2973" w:rsidP="00B51927">
      <w:pPr>
        <w:jc w:val="both"/>
        <w:rPr>
          <w:rFonts w:ascii="Times New Roman" w:hAnsi="Times New Roman" w:cs="Times New Roman"/>
          <w:sz w:val="24"/>
          <w:szCs w:val="24"/>
        </w:rPr>
        <w:sectPr w:rsidR="007F2973" w:rsidRPr="00B51927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</w:p>
    <w:p w:rsidR="00046A94" w:rsidRDefault="00046A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Par865"/>
      <w:bookmarkEnd w:id="5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991"/>
        <w:gridCol w:w="1560"/>
        <w:gridCol w:w="951"/>
        <w:gridCol w:w="325"/>
        <w:gridCol w:w="709"/>
        <w:gridCol w:w="424"/>
        <w:gridCol w:w="446"/>
        <w:gridCol w:w="404"/>
        <w:gridCol w:w="569"/>
        <w:gridCol w:w="283"/>
        <w:gridCol w:w="648"/>
        <w:gridCol w:w="202"/>
        <w:gridCol w:w="750"/>
        <w:gridCol w:w="101"/>
        <w:gridCol w:w="851"/>
        <w:gridCol w:w="1658"/>
        <w:gridCol w:w="1544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gram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</w:t>
            </w:r>
            <w:proofErr w:type="gram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40</w:t>
            </w:r>
            <w:r w:rsidR="00A11D1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1708,0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A11D1C" w:rsidP="00DC440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91474.5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</w:tc>
      </w:tr>
      <w:tr w:rsidR="00DE3757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38</w:t>
            </w:r>
            <w:r w:rsidR="00E808C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6838,0</w:t>
            </w: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3E4845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</w:t>
            </w:r>
            <w:r w:rsidR="00A11D1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539,5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6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E808C8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14870,0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A11D1C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345003,0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783785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339068,0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783785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47681,0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47681,0</w:t>
            </w: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569C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3730DC" w:rsidRDefault="003730DC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>окон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 приема заявителей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работы МФЦ</w:t>
            </w: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системы предоставления государственных и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997F51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BC1EC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51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Бюджет Сергиево-Посадского </w:t>
            </w:r>
            <w:r w:rsidRPr="00997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51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904518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6F6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DCA" w:rsidRPr="00B514DA" w:rsidTr="006B203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6DCA" w:rsidRDefault="00746DCA" w:rsidP="0074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746DCA" w:rsidRPr="00B514DA" w:rsidRDefault="00746DCA" w:rsidP="0074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746DCA" w:rsidRPr="00997F51" w:rsidRDefault="00746DCA" w:rsidP="00746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746DCA" w:rsidRPr="00997F51" w:rsidRDefault="00746DCA" w:rsidP="00746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746DCA" w:rsidRDefault="00746DCA" w:rsidP="00746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46DCA" w:rsidRDefault="00746DCA" w:rsidP="00746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746DCA" w:rsidRPr="00B514DA" w:rsidRDefault="00746DCA" w:rsidP="0074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746DCA" w:rsidRPr="00B514DA" w:rsidRDefault="00746DCA" w:rsidP="0074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746DCA" w:rsidRPr="00B514DA" w:rsidRDefault="00746DCA" w:rsidP="00746D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746DCA" w:rsidRPr="00B514DA" w:rsidRDefault="00746DCA" w:rsidP="0074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bookmarkEnd w:id="6"/>
          </w:p>
        </w:tc>
      </w:tr>
      <w:tr w:rsidR="00746DC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746DC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6DC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46DC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746DCA" w:rsidRPr="00997F51" w:rsidRDefault="00746DCA" w:rsidP="00391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746DCA" w:rsidRDefault="00746DCA" w:rsidP="0039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46DCA" w:rsidRDefault="00746DCA" w:rsidP="0039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746DCA" w:rsidRPr="00B514D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746DCA" w:rsidRPr="00B514D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DC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746DC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6DC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46DC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746DCA" w:rsidRPr="00997F51" w:rsidRDefault="00746DCA" w:rsidP="00391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746DCA" w:rsidRDefault="00746DCA" w:rsidP="0039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746DCA" w:rsidRDefault="00746DCA" w:rsidP="0039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46DCA" w:rsidRPr="00B514DA" w:rsidRDefault="00746DCA" w:rsidP="0039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746DCA" w:rsidRPr="00B514D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746DCA" w:rsidRPr="00B514DA" w:rsidRDefault="00746DCA" w:rsidP="0039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5C2F05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5C2F05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15534,0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</w:t>
            </w:r>
            <w:r w:rsidRPr="00997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5C2F05" w:rsidP="005C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389681,0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Default="005C2F05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85170,5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6D558E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5C2F05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411733,0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5C2F05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100704,5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513BAA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3B8" w:rsidRPr="00B514DA" w:rsidRDefault="002403B8" w:rsidP="00046A94">
      <w:pPr>
        <w:rPr>
          <w:rFonts w:ascii="Times New Roman" w:hAnsi="Times New Roman" w:cs="Times New Roman"/>
          <w:sz w:val="20"/>
          <w:szCs w:val="20"/>
        </w:rPr>
      </w:pPr>
    </w:p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04" w:rsidRDefault="00817404">
      <w:pPr>
        <w:spacing w:after="0" w:line="240" w:lineRule="auto"/>
      </w:pPr>
      <w:r>
        <w:separator/>
      </w:r>
    </w:p>
  </w:endnote>
  <w:endnote w:type="continuationSeparator" w:id="0">
    <w:p w:rsidR="00817404" w:rsidRDefault="008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04" w:rsidRDefault="00817404">
      <w:pPr>
        <w:spacing w:after="0" w:line="240" w:lineRule="auto"/>
      </w:pPr>
      <w:r>
        <w:separator/>
      </w:r>
    </w:p>
  </w:footnote>
  <w:footnote w:type="continuationSeparator" w:id="0">
    <w:p w:rsidR="00817404" w:rsidRDefault="0081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F05" w:rsidRDefault="005C2F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6DCA">
      <w:rPr>
        <w:noProof/>
      </w:rPr>
      <w:t>2</w:t>
    </w:r>
    <w:r>
      <w:fldChar w:fldCharType="end"/>
    </w:r>
  </w:p>
  <w:p w:rsidR="005C2F05" w:rsidRDefault="005C2F0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4F"/>
    <w:rsid w:val="000100AA"/>
    <w:rsid w:val="000429C6"/>
    <w:rsid w:val="00046A94"/>
    <w:rsid w:val="00046DF0"/>
    <w:rsid w:val="00047AA9"/>
    <w:rsid w:val="0008773A"/>
    <w:rsid w:val="00123C4A"/>
    <w:rsid w:val="001317F5"/>
    <w:rsid w:val="00150720"/>
    <w:rsid w:val="00156DD9"/>
    <w:rsid w:val="00182A2C"/>
    <w:rsid w:val="00194250"/>
    <w:rsid w:val="001957EA"/>
    <w:rsid w:val="00215CDB"/>
    <w:rsid w:val="0023707F"/>
    <w:rsid w:val="002403B8"/>
    <w:rsid w:val="00242C9A"/>
    <w:rsid w:val="00243AA0"/>
    <w:rsid w:val="00286B43"/>
    <w:rsid w:val="002B4B7E"/>
    <w:rsid w:val="002C774B"/>
    <w:rsid w:val="002F5CBA"/>
    <w:rsid w:val="00307A98"/>
    <w:rsid w:val="00326FA5"/>
    <w:rsid w:val="00354C6D"/>
    <w:rsid w:val="003730DC"/>
    <w:rsid w:val="003915E9"/>
    <w:rsid w:val="003A1C15"/>
    <w:rsid w:val="003A6981"/>
    <w:rsid w:val="003B5B96"/>
    <w:rsid w:val="003C3A33"/>
    <w:rsid w:val="003E3D43"/>
    <w:rsid w:val="003E4845"/>
    <w:rsid w:val="003F0858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497FC7"/>
    <w:rsid w:val="00513BAA"/>
    <w:rsid w:val="00526030"/>
    <w:rsid w:val="00560888"/>
    <w:rsid w:val="00594B27"/>
    <w:rsid w:val="005C2F05"/>
    <w:rsid w:val="005E70C7"/>
    <w:rsid w:val="005F3404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D558E"/>
    <w:rsid w:val="006D7CED"/>
    <w:rsid w:val="006F6FE3"/>
    <w:rsid w:val="00713091"/>
    <w:rsid w:val="0074433A"/>
    <w:rsid w:val="007445A0"/>
    <w:rsid w:val="00746DCA"/>
    <w:rsid w:val="00755BF2"/>
    <w:rsid w:val="007578C1"/>
    <w:rsid w:val="00766D1B"/>
    <w:rsid w:val="007807F1"/>
    <w:rsid w:val="00783785"/>
    <w:rsid w:val="00796997"/>
    <w:rsid w:val="007A720E"/>
    <w:rsid w:val="007B56F0"/>
    <w:rsid w:val="007C0614"/>
    <w:rsid w:val="007E067D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CCE"/>
    <w:rsid w:val="0086789E"/>
    <w:rsid w:val="008748EA"/>
    <w:rsid w:val="008A4092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542D7"/>
    <w:rsid w:val="0099124E"/>
    <w:rsid w:val="009B7E8F"/>
    <w:rsid w:val="009C659F"/>
    <w:rsid w:val="009E35A7"/>
    <w:rsid w:val="009F7411"/>
    <w:rsid w:val="00A11D1C"/>
    <w:rsid w:val="00A32E8D"/>
    <w:rsid w:val="00A4582B"/>
    <w:rsid w:val="00A83356"/>
    <w:rsid w:val="00AB3D0A"/>
    <w:rsid w:val="00AB51D7"/>
    <w:rsid w:val="00B4282A"/>
    <w:rsid w:val="00B514DA"/>
    <w:rsid w:val="00B51927"/>
    <w:rsid w:val="00B61190"/>
    <w:rsid w:val="00B82F12"/>
    <w:rsid w:val="00B93B31"/>
    <w:rsid w:val="00BA4F3F"/>
    <w:rsid w:val="00BC1ECA"/>
    <w:rsid w:val="00BF2CA8"/>
    <w:rsid w:val="00BF32AB"/>
    <w:rsid w:val="00C03D8A"/>
    <w:rsid w:val="00C4211F"/>
    <w:rsid w:val="00C506B7"/>
    <w:rsid w:val="00C77C69"/>
    <w:rsid w:val="00CA1037"/>
    <w:rsid w:val="00CE0817"/>
    <w:rsid w:val="00CE3221"/>
    <w:rsid w:val="00CF787F"/>
    <w:rsid w:val="00D0651A"/>
    <w:rsid w:val="00D11FAC"/>
    <w:rsid w:val="00D30F5A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CE0"/>
    <w:rsid w:val="00E470F9"/>
    <w:rsid w:val="00E51F40"/>
    <w:rsid w:val="00E569C3"/>
    <w:rsid w:val="00E6615C"/>
    <w:rsid w:val="00E67401"/>
    <w:rsid w:val="00E808C8"/>
    <w:rsid w:val="00EC6EB9"/>
    <w:rsid w:val="00EE2F2D"/>
    <w:rsid w:val="00EE5BE0"/>
    <w:rsid w:val="00EF0B3A"/>
    <w:rsid w:val="00F27544"/>
    <w:rsid w:val="00F41302"/>
    <w:rsid w:val="00F52DD5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F9DB-5084-4683-9C94-765AF605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CE43-7482-4734-8DD7-E7B5A7F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4839</Words>
  <Characters>27584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2018-04-26T09:05:00Z</cp:lastPrinted>
  <dcterms:created xsi:type="dcterms:W3CDTF">2018-07-19T14:28:00Z</dcterms:created>
  <dcterms:modified xsi:type="dcterms:W3CDTF">2018-07-20T06:50:00Z</dcterms:modified>
</cp:coreProperties>
</file>