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FCC" w:rsidRDefault="002C3634" w:rsidP="002145EB">
      <w:pPr>
        <w:pStyle w:val="ConsPlusTitle"/>
        <w:outlineLvl w:val="0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 </w:t>
      </w:r>
    </w:p>
    <w:p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</w:rPr>
        <w:t xml:space="preserve">   </w:t>
      </w:r>
      <w:r>
        <w:rPr>
          <w:rFonts w:eastAsia="Calibri" w:cs="Times New Roman"/>
          <w:sz w:val="24"/>
          <w:szCs w:val="24"/>
        </w:rPr>
        <w:t xml:space="preserve">Приложение </w:t>
      </w:r>
    </w:p>
    <w:p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к постановлению администрации </w:t>
      </w:r>
    </w:p>
    <w:p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Сергиево-Посадского</w:t>
      </w:r>
    </w:p>
    <w:p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городского округа</w:t>
      </w:r>
    </w:p>
    <w:p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  <w:sz w:val="24"/>
          <w:szCs w:val="24"/>
        </w:rPr>
        <w:t xml:space="preserve">    от </w:t>
      </w:r>
      <w:r>
        <w:rPr>
          <w:rFonts w:eastAsia="Calibri" w:cs="Times New Roman"/>
          <w:sz w:val="24"/>
          <w:szCs w:val="24"/>
          <w:u w:val="single"/>
        </w:rPr>
        <w:t xml:space="preserve">                            </w:t>
      </w:r>
      <w:r>
        <w:rPr>
          <w:rFonts w:eastAsia="Calibri" w:cs="Times New Roman"/>
          <w:sz w:val="24"/>
          <w:szCs w:val="24"/>
        </w:rPr>
        <w:t xml:space="preserve">№ ________   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u w:val="single"/>
        </w:rPr>
        <w:t xml:space="preserve">  </w:t>
      </w:r>
    </w:p>
    <w:p w:rsidR="000A3FCC" w:rsidRDefault="000A3FCC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:rsidR="000A3FCC" w:rsidRDefault="002C3634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МУНИЦИПАЛЬНАЯ ПРОГРАММА МУНИЦИПАЛЬНОГО ОБРАЗОВАНИЯ «СЕРГИЕВО-ПОСАДСКИЙ ГОРОДСКОЙ ОКРУГ МОСКОВСКОЙ ОБЛАСТИ» </w:t>
      </w:r>
    </w:p>
    <w:p w:rsidR="000A3FCC" w:rsidRDefault="002C3634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«УПРАВЛЕНИЕ ИМУЩЕСТВОМ И МУНИЦИПАЛЬНЫМИ ФИНАНСАМИ»</w:t>
      </w:r>
    </w:p>
    <w:p w:rsidR="000A3FCC" w:rsidRDefault="000A3FCC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:rsidR="000A3FCC" w:rsidRPr="002145EB" w:rsidRDefault="002C3634" w:rsidP="002145EB">
      <w:pPr>
        <w:pStyle w:val="af6"/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Паспорт муниципальной программы «Управление имуществом и муниципальными финансами»</w:t>
      </w:r>
    </w:p>
    <w:tbl>
      <w:tblPr>
        <w:tblW w:w="155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5"/>
        <w:gridCol w:w="11250"/>
      </w:tblGrid>
      <w:tr w:rsidR="000A3FCC" w:rsidTr="002145EB">
        <w:trPr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округа, курирующий вопросы финансовой политики</w:t>
            </w:r>
          </w:p>
        </w:tc>
      </w:tr>
      <w:tr w:rsidR="000A3FCC" w:rsidTr="002145EB">
        <w:trPr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</w:t>
            </w:r>
          </w:p>
        </w:tc>
      </w:tr>
      <w:tr w:rsidR="000A3FCC" w:rsidTr="002145EB">
        <w:trPr>
          <w:trHeight w:val="300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Сергиево-Посадского городского округа.</w:t>
            </w:r>
          </w:p>
          <w:p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Обеспечение земельными участками многодетных семей.</w:t>
            </w:r>
          </w:p>
          <w:p w:rsidR="000A3FCC" w:rsidRDefault="002C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Совершенствование и развитие муниципальной службы в Московской области.</w:t>
            </w:r>
          </w:p>
          <w:p w:rsidR="000A3FCC" w:rsidRDefault="002C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Повышение качества управления муниципальными финансами Сергиево-Посадского городского округа на 2023-2027 гг.</w:t>
            </w:r>
          </w:p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</w:tc>
      </w:tr>
      <w:tr w:rsidR="000A3FCC" w:rsidTr="002145EB">
        <w:trPr>
          <w:trHeight w:val="46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</w:tbl>
    <w:p w:rsidR="000A3FCC" w:rsidRDefault="000A3FCC">
      <w:pPr>
        <w:widowControl w:val="0"/>
        <w:rPr>
          <w:rFonts w:eastAsiaTheme="minorEastAsia" w:cs="Times New Roman"/>
          <w:sz w:val="22"/>
          <w:lang w:eastAsia="ru-RU"/>
        </w:rPr>
        <w:sectPr w:rsidR="000A3FCC">
          <w:headerReference w:type="first" r:id="rId9"/>
          <w:pgSz w:w="16838" w:h="11906" w:orient="landscape"/>
          <w:pgMar w:top="1134" w:right="567" w:bottom="1134" w:left="1134" w:header="0" w:footer="523" w:gutter="0"/>
          <w:pgNumType w:start="2"/>
          <w:cols w:space="720"/>
          <w:formProt w:val="0"/>
          <w:docGrid w:linePitch="381"/>
        </w:sectPr>
      </w:pPr>
    </w:p>
    <w:tbl>
      <w:tblPr>
        <w:tblW w:w="1581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2203"/>
        <w:gridCol w:w="1984"/>
        <w:gridCol w:w="1701"/>
        <w:gridCol w:w="1843"/>
        <w:gridCol w:w="1559"/>
        <w:gridCol w:w="1843"/>
      </w:tblGrid>
      <w:tr w:rsidR="000A3FCC" w:rsidTr="002145EB">
        <w:trPr>
          <w:trHeight w:val="454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Подпрограмма 1 «Эффективное управление имущественным комплексом»</w:t>
            </w:r>
          </w:p>
        </w:tc>
        <w:tc>
          <w:tcPr>
            <w:tcW w:w="1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(управление муниципальной собственности)</w:t>
            </w:r>
          </w:p>
        </w:tc>
      </w:tr>
      <w:tr w:rsidR="000A3FCC" w:rsidTr="002145EB">
        <w:trPr>
          <w:trHeight w:val="294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3 «Управление муниципальным долгом»</w:t>
            </w:r>
          </w:p>
        </w:tc>
        <w:tc>
          <w:tcPr>
            <w:tcW w:w="1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управление)</w:t>
            </w:r>
          </w:p>
        </w:tc>
      </w:tr>
      <w:tr w:rsidR="000A3FCC" w:rsidTr="002145EB">
        <w:trPr>
          <w:trHeight w:val="46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4 «Управление муниципальными финансами»</w:t>
            </w:r>
          </w:p>
        </w:tc>
        <w:tc>
          <w:tcPr>
            <w:tcW w:w="1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управление)</w:t>
            </w:r>
          </w:p>
        </w:tc>
      </w:tr>
      <w:tr w:rsidR="000A3FCC" w:rsidTr="002145EB">
        <w:trPr>
          <w:trHeight w:val="46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5 «Обеспечивающая подпрограмма»</w:t>
            </w:r>
          </w:p>
        </w:tc>
        <w:tc>
          <w:tcPr>
            <w:tcW w:w="1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управление, отдел муниципальной службы и кадров)</w:t>
            </w:r>
          </w:p>
        </w:tc>
      </w:tr>
      <w:tr w:rsidR="000A3FCC" w:rsidTr="002145EB">
        <w:trPr>
          <w:trHeight w:val="583"/>
          <w:jc w:val="center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Краткая характеристика подпрограмм </w:t>
            </w:r>
          </w:p>
        </w:tc>
        <w:tc>
          <w:tcPr>
            <w:tcW w:w="1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Подпрограмма 1 -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0A3FCC" w:rsidTr="002145EB">
        <w:trPr>
          <w:trHeight w:val="525"/>
          <w:jc w:val="center"/>
        </w:trPr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Подпрограмма 3 - </w:t>
            </w:r>
            <w:r>
              <w:rPr>
                <w:sz w:val="24"/>
                <w:szCs w:val="24"/>
              </w:rPr>
              <w:t>Повышение качества управления муниципальными финансами Сергиево-Посадского городского округа</w:t>
            </w:r>
          </w:p>
        </w:tc>
      </w:tr>
      <w:tr w:rsidR="000A3FCC" w:rsidTr="002145EB">
        <w:trPr>
          <w:trHeight w:val="43"/>
          <w:jc w:val="center"/>
        </w:trPr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Подпрограмма 4 -</w:t>
            </w:r>
            <w:r>
              <w:rPr>
                <w:sz w:val="24"/>
                <w:szCs w:val="24"/>
              </w:rPr>
              <w:t xml:space="preserve"> Повышение качества управления муниципальными финансами Сергиево-Посадского городского округа</w:t>
            </w:r>
          </w:p>
        </w:tc>
      </w:tr>
      <w:tr w:rsidR="000A3FCC" w:rsidTr="002145EB">
        <w:trPr>
          <w:trHeight w:val="844"/>
          <w:jc w:val="center"/>
        </w:trPr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Подпрограмма 5 - </w:t>
            </w:r>
            <w:r>
              <w:rPr>
                <w:sz w:val="24"/>
                <w:szCs w:val="24"/>
              </w:rPr>
              <w:t>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финансового управления администрации Сергиево-Посадского городского округа</w:t>
            </w:r>
          </w:p>
        </w:tc>
      </w:tr>
      <w:tr w:rsidR="000A3FCC" w:rsidTr="002145EB">
        <w:trPr>
          <w:trHeight w:val="1138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0A3FCC" w:rsidTr="002145E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7704D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53 865,99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B1" w:rsidRDefault="007704DB" w:rsidP="008413B1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26 025,99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13 920,00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13 920,00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A3FCC" w:rsidTr="002145E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3FCC" w:rsidTr="002145EB">
        <w:trPr>
          <w:trHeight w:val="595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7704DB" w:rsidP="00E2575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3 914 337,08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7704D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875 620,16</w:t>
            </w:r>
          </w:p>
          <w:p w:rsidR="00D052DD" w:rsidRDefault="00D052D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8413B1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711 471,84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775 748,36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775 748,36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775 748,36</w:t>
            </w:r>
          </w:p>
        </w:tc>
      </w:tr>
      <w:tr w:rsidR="000A3FCC" w:rsidTr="002145E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Pr="008B49E5" w:rsidRDefault="007704DB" w:rsidP="00E2575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3 968</w:t>
            </w:r>
            <w:r w:rsidR="00D9473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D94733">
              <w:rPr>
                <w:rFonts w:eastAsia="Times New Roman" w:cs="Times New Roman"/>
                <w:sz w:val="24"/>
                <w:szCs w:val="24"/>
                <w:lang w:eastAsia="ru-RU"/>
              </w:rPr>
              <w:t>3,07</w:t>
            </w:r>
            <w:bookmarkStart w:id="0" w:name="_GoBack"/>
            <w:bookmarkEnd w:id="0"/>
            <w:r w:rsidR="00D052DD" w:rsidRPr="003D7B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8413B1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901 646,15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8413B1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725 391,84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789 668,36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775 748,36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775 748,36</w:t>
            </w:r>
          </w:p>
        </w:tc>
      </w:tr>
    </w:tbl>
    <w:p w:rsidR="000A3FCC" w:rsidRDefault="000A3FCC" w:rsidP="002145EB">
      <w:pPr>
        <w:autoSpaceDE w:val="0"/>
        <w:autoSpaceDN w:val="0"/>
        <w:adjustRightInd w:val="0"/>
        <w:rPr>
          <w:rFonts w:cs="Times New Roman"/>
        </w:rPr>
      </w:pPr>
    </w:p>
    <w:p w:rsidR="000A3FCC" w:rsidRDefault="000A3FCC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0A3FCC" w:rsidRDefault="002C363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ru-RU"/>
        </w:rPr>
        <w:t>2. Общая характеристика сферы реализации муниципальной программы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развития Сергиево-Посадского городского округа Московской области. 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остается приоритетной задачей регистрация прав на объекты муниципальной собственности и их инвентаризация. 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Актуальной проблемой остается 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Постоянно проводится работа по постановке на кадастровый учет и регистрация прав на земельные участки, с целью их эффективного использования и вовлечения в хозяйственный оборот.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 и земельные участки, государственная собственность на которые не разграничена,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объектов служат существенному пополнению доходной части бюджета Сергиево-Посадского городского округа Московской области.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целями подпрограммы являются: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-снижение задолженности по договорам аренды земли и недвижимого имущества;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земельными участками многодетных семей Сергиево-Посадского городского округа.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решения указанных проблем в настоящей программе поставлены следующие задачи: 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доходов консолидированного бюджета Сергиево-Посадского городского округа;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претензионно-исковая работа с задолжниками;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деятельности управления муниципальной собственностью администрации Сергиево-Посадского городского округа.</w:t>
      </w:r>
    </w:p>
    <w:p w:rsidR="000A3FCC" w:rsidRDefault="002C36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Основной задачей проводимой долговой политики является минимизация расходов на обслуживание муниципального долга и сохранение объема долговых обязательств на экономически безопасном уровне с учетом всех возможных рисков.</w:t>
      </w:r>
    </w:p>
    <w:p w:rsidR="000A3FCC" w:rsidRDefault="002C363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Обеспечение своевременности и полноты исполнения обязательств по государственным заимствованиям городского округа.</w:t>
      </w:r>
    </w:p>
    <w:p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вызвана необходимостью дальнейшего развития и повышения устойчивости бюджетной системы Сергиево-Посадского городского округа, более широким применением экономических методов управления.</w:t>
      </w:r>
    </w:p>
    <w:p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Инструментами, обеспечивающими повышение качества управления муниципальными финансами Сергиево-Посадского городского округа, являются:</w:t>
      </w:r>
    </w:p>
    <w:p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реализация программно-целевого принципа планирования и исполнения бюджета Сергиево-Посадского городского округа;</w:t>
      </w:r>
    </w:p>
    <w:p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стабильной и предсказуемой налоговой политики, направленной на увеличение поступления доходов в бюджет Сергиево-Посадского городского округа;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Основная цель программы — это повышение качества управления муниципальными финансами Сергиево-Посадского городского округа на 2023-2027 гг.</w:t>
      </w:r>
    </w:p>
    <w:p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</w:r>
    </w:p>
    <w:p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округа,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технологий.</w:t>
      </w:r>
    </w:p>
    <w:p w:rsidR="000A3FCC" w:rsidRDefault="000A3FCC">
      <w:pPr>
        <w:autoSpaceDE w:val="0"/>
        <w:autoSpaceDN w:val="0"/>
        <w:adjustRightInd w:val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B119A" w:rsidRDefault="00DB119A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B119A" w:rsidRDefault="00DB119A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B119A" w:rsidRDefault="00DB119A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B119A" w:rsidRDefault="00DB119A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2C363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3. Инерционный прогноз развития сферы реализации муниципальной программы</w:t>
      </w:r>
    </w:p>
    <w:p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2C36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Обеспечить сбалансированность и устойчивость бюджета Сергиево-Посадского городского округа.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Повысить эффективность бюджетных расходов Сергиево-Посадского городского округа.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Совершенствовать систему управления муниципальным долгом Сергиево-Посадского городского округа. 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Обеспечить соответствие нормативной правовой базы администрации муниципального образования «Сергиево-Посадский городской округ Московской области» действующему законодательству о муниципальной службе.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Сформировать систему управления муниципальной службой, повысить эффективность работы кадровых служб, внедрить информационные технологии в систему управления кадровыми ресурсами.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Создать условия для профессионального развития и подготовки кадров.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Стимулировать и мотивировать, повысить престиж и открытость муниципальной службы в муниципальном образовании «Сергиево-Посадский городской округ Московской области».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Развить механизм предупреждения коррупции, выявление и разрешение конфликта интересов на муниципальной службе.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Обеспечить социальные гарантии муниципальным служащим.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Создать условия для рационального и эффективного использования муниципальной собственности.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Увеличить процент обеспечения многодетных семей земельными участками.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Улучшить инвестиционный климат в Сергиево-Посадском городском округе.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Вовлечение в хозяйственный оборот объектов недвижимого имущества, увеличение налоговых поступлений по налогу на имущество.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Снижение задолженности по арендной плате за земельные участки, собственность на которые не разграничена и за муниципальное имущество.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Пополнение бюджета налоговыми и неналоговыми доходами.</w:t>
      </w:r>
    </w:p>
    <w:p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Организовать осуществление функций и полномочий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округа.</w:t>
      </w:r>
    </w:p>
    <w:p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145EB" w:rsidRDefault="002145EB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B119A" w:rsidRDefault="00DB119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B119A" w:rsidRDefault="00DB119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2C363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4. Целевые показатели муниципальной программы муниципального образования</w:t>
      </w:r>
    </w:p>
    <w:p w:rsidR="000A3FCC" w:rsidRDefault="002C363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 «</w:t>
      </w:r>
      <w:r>
        <w:rPr>
          <w:rFonts w:ascii="Times New Roman" w:eastAsia="Calibri" w:hAnsi="Times New Roman" w:cs="Times New Roman"/>
          <w:b/>
          <w:sz w:val="24"/>
          <w:szCs w:val="24"/>
        </w:rPr>
        <w:t>Управление имуществом и муниципальными финансами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A3FCC" w:rsidRDefault="000A3F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3FCC" w:rsidRDefault="000A3FCC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9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"/>
        <w:gridCol w:w="1458"/>
        <w:gridCol w:w="1385"/>
        <w:gridCol w:w="1135"/>
        <w:gridCol w:w="1077"/>
        <w:gridCol w:w="1077"/>
        <w:gridCol w:w="1077"/>
        <w:gridCol w:w="1077"/>
        <w:gridCol w:w="1077"/>
        <w:gridCol w:w="1077"/>
        <w:gridCol w:w="1701"/>
        <w:gridCol w:w="54"/>
        <w:gridCol w:w="2270"/>
      </w:tblGrid>
      <w:tr w:rsidR="000A3FCC">
        <w:trPr>
          <w:trHeight w:val="293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Тип показателя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(по ОКЕИ)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Базовое значение *</w:t>
            </w:r>
          </w:p>
        </w:tc>
        <w:tc>
          <w:tcPr>
            <w:tcW w:w="5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подпрограммы, мероприятий, оказывающих влияние на достижение 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(Y.ХХ.ZZ)</w:t>
            </w:r>
          </w:p>
        </w:tc>
      </w:tr>
      <w:tr w:rsidR="000A3FCC">
        <w:trPr>
          <w:trHeight w:val="141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0A3FCC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0A3FCC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0A3FCC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0A3FCC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0A3FCC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0A3FCC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0A3FCC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</w:tr>
      <w:tr w:rsidR="000A3FCC">
        <w:trPr>
          <w:trHeight w:val="20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0A3FCC">
        <w:trPr>
          <w:trHeight w:val="410"/>
        </w:trPr>
        <w:tc>
          <w:tcPr>
            <w:tcW w:w="14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цели «Повышение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области»</w:t>
            </w:r>
          </w:p>
        </w:tc>
      </w:tr>
      <w:tr w:rsidR="000A3FCC">
        <w:trPr>
          <w:trHeight w:val="243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0A3FCC" w:rsidRDefault="000A3FC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0A3FCC" w:rsidRDefault="000A3FC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cs="Times New Roman"/>
                <w:sz w:val="22"/>
                <w:highlight w:val="yellow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0A3FCC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0A3FCC" w:rsidRDefault="000A3FC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0A3FCC" w:rsidRDefault="000A3FC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91,39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1.02.03.</w:t>
            </w:r>
          </w:p>
        </w:tc>
      </w:tr>
      <w:tr w:rsidR="000A3FCC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0A3FCC" w:rsidRDefault="000A3FC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0A3FCC" w:rsidRDefault="000A3FC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0A3FCC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0A3FCC" w:rsidRDefault="000A3FC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0A3FCC" w:rsidRDefault="000A3FC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1.02.03.</w:t>
            </w:r>
          </w:p>
        </w:tc>
      </w:tr>
      <w:tr w:rsidR="000A3FCC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«Предоставление земельных участков многодетным семьям»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0A3FCC" w:rsidRDefault="000A3FC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01.06.2011 № 73/2011-ОЗ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1.02.03.</w:t>
            </w:r>
          </w:p>
        </w:tc>
      </w:tr>
      <w:tr w:rsidR="000A3FCC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«Проверка использования земель»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0A3FCC" w:rsidRDefault="000A3FC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от 31.07.2020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№ 248-ФЗ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0A3FCC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«Доля незарегистрированных объектов недвижимого имущества, вовлеченных в налоговый оборот по результатам МЗК»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0A3FCC" w:rsidRDefault="000A3FC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0A3FCC" w:rsidRDefault="000A3FC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65-р от 26.12.2017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землепользования, 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0A3FCC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«Прирост земельного налога»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0A3FCC" w:rsidRDefault="000A3FC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 Президента РФ от 28.04.2008 № 607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0A3FCC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0A3FCC" w:rsidRDefault="000A3FC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Государственная программа МО "Предпринимательство Подмосковья" на 2017-2024 годы"</w:t>
            </w:r>
          </w:p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0A3FCC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0A3FCC" w:rsidRDefault="000A3FC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Закон МО от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1.02.03.</w:t>
            </w:r>
          </w:p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0A3FCC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3.01.01</w:t>
            </w:r>
          </w:p>
        </w:tc>
      </w:tr>
      <w:tr w:rsidR="000A3FCC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4,5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3.01.02</w:t>
            </w:r>
          </w:p>
        </w:tc>
      </w:tr>
      <w:tr w:rsidR="000A3FCC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просроченной кредиторской задолженности в расходах бюджета Сергиево-Посадского городского округа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4.50.01</w:t>
            </w:r>
          </w:p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4.50.02</w:t>
            </w:r>
          </w:p>
          <w:p w:rsidR="000A3FCC" w:rsidRDefault="002C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4.51.01</w:t>
            </w:r>
          </w:p>
        </w:tc>
      </w:tr>
      <w:tr w:rsidR="000A3FCC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5.01.01</w:t>
            </w:r>
          </w:p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5.01.02</w:t>
            </w:r>
          </w:p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5.01.05</w:t>
            </w:r>
          </w:p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5.01.07</w:t>
            </w:r>
          </w:p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5.01.08</w:t>
            </w:r>
          </w:p>
        </w:tc>
      </w:tr>
      <w:tr w:rsidR="000A3FCC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муниципальной службы и кадров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5.03.02</w:t>
            </w:r>
          </w:p>
        </w:tc>
      </w:tr>
    </w:tbl>
    <w:p w:rsidR="000A3FCC" w:rsidRDefault="000A3FC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  <w:bookmarkStart w:id="1" w:name="P760"/>
      <w:bookmarkEnd w:id="1"/>
    </w:p>
    <w:p w:rsidR="000A3FCC" w:rsidRDefault="000A3FC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2145EB" w:rsidRDefault="002145EB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2145EB" w:rsidRDefault="002145EB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2145EB" w:rsidRDefault="002145EB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2145EB" w:rsidRDefault="002145EB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2145EB" w:rsidRDefault="002145EB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2145EB" w:rsidRDefault="002145EB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0A3FCC" w:rsidRDefault="002C3634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5. Методика расчета планируемых показателей реализации муниципальной программы.</w:t>
      </w:r>
    </w:p>
    <w:p w:rsidR="000A3FCC" w:rsidRDefault="002C3634">
      <w:pPr>
        <w:rPr>
          <w:color w:val="FF0000"/>
        </w:rPr>
      </w:pPr>
      <w:r>
        <w:rPr>
          <w:color w:val="FF0000"/>
          <w:szCs w:val="28"/>
        </w:rPr>
        <w:t xml:space="preserve">    </w:t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  <w:t xml:space="preserve">           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894"/>
        <w:gridCol w:w="621"/>
        <w:gridCol w:w="8080"/>
        <w:gridCol w:w="1701"/>
        <w:gridCol w:w="1275"/>
      </w:tblGrid>
      <w:tr w:rsidR="000A3FCC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Период представления отчетности </w:t>
            </w:r>
          </w:p>
        </w:tc>
      </w:tr>
      <w:tr w:rsidR="000A3FCC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A3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94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%</w:t>
            </w:r>
          </w:p>
        </w:tc>
        <w:tc>
          <w:tcPr>
            <w:tcW w:w="8080" w:type="dxa"/>
          </w:tcPr>
          <w:p w:rsidR="000A3FCC" w:rsidRDefault="002C3634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0A3FCC" w:rsidRDefault="002C3634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СЗ = Пир + 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0A3FCC" w:rsidRDefault="002C3634">
            <w:pPr>
              <w:pStyle w:val="af7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3FCC" w:rsidRDefault="000A3FCC">
            <w:pPr>
              <w:jc w:val="center"/>
              <w:rPr>
                <w:rFonts w:eastAsiaTheme="minorEastAsia" w:cs="Times New Roman"/>
                <w:sz w:val="34"/>
                <w:szCs w:val="34"/>
              </w:rPr>
            </w:pPr>
          </w:p>
          <w:p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0A3FCC" w:rsidRDefault="002C3634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0A3FCC" w:rsidRDefault="000A3FCC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 xml:space="preserve"> 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:rsidR="000A3FCC" w:rsidRDefault="000A3FCC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Знг – общая сумма задолженности по состоянию на 01 число отчетного года.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>
              <w:rPr>
                <w:rFonts w:cs="Times New Roman"/>
                <w:sz w:val="24"/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94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62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:rsidR="000A3FCC" w:rsidRDefault="002C3634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0A3FCC" w:rsidRDefault="002C3634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СЗ = Пир + 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где</w:t>
            </w:r>
          </w:p>
          <w:p w:rsidR="000A3FCC" w:rsidRDefault="002C3634">
            <w:pPr>
              <w:pStyle w:val="af7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0A3FCC" w:rsidRDefault="002C3634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0A3FCC" w:rsidRDefault="000A3FCC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 xml:space="preserve"> 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:rsidR="000A3FCC" w:rsidRDefault="000A3FCC">
            <w:pPr>
              <w:ind w:firstLine="709"/>
              <w:jc w:val="both"/>
              <w:rPr>
                <w:rFonts w:cs="Times New Roman"/>
                <w:sz w:val="14"/>
                <w:szCs w:val="14"/>
              </w:rPr>
            </w:pP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Знг – общая сумма задолженности по состоянию на 01 число отчетного года.</w:t>
            </w:r>
          </w:p>
          <w:p w:rsidR="000A3FCC" w:rsidRDefault="000A3FCC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>
              <w:rPr>
                <w:rFonts w:cs="Times New Roman"/>
                <w:sz w:val="24"/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94" w:type="dxa"/>
          </w:tcPr>
          <w:p w:rsidR="000A3FCC" w:rsidRDefault="002C3634">
            <w:pPr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:rsidR="000A3FCC" w:rsidRDefault="002C3634">
            <w:pPr>
              <w:pStyle w:val="af7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2 квартал – 50%;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3 квартал – 75%;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94" w:type="dxa"/>
          </w:tcPr>
          <w:p w:rsidR="000A3FCC" w:rsidRDefault="002C3634">
            <w:pPr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62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муниципальное имущество и землю;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 от продажи муниципального имущества и земли;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:rsidR="000A3FCC" w:rsidRDefault="002C3634">
            <w:pPr>
              <w:pStyle w:val="af7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2 квартал – 50%;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3 квартал – 75%;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4 квартал – 100% (год).</w:t>
            </w:r>
          </w:p>
        </w:tc>
        <w:tc>
          <w:tcPr>
            <w:tcW w:w="170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94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62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рассчитывается по следующей формуле: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eastAsia="Times New Roman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Кпр</m:t>
                  </m:r>
                </m:num>
                <m:den>
                  <m:r>
                    <w:rPr>
                      <w:rFonts w:ascii="Cambria Math" w:hAnsi="Cambria Math"/>
                      <w:sz w:val="34"/>
                      <w:szCs w:val="34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>
              <w:rPr>
                <w:rFonts w:eastAsia="Times New Roman"/>
                <w:sz w:val="44"/>
                <w:szCs w:val="44"/>
              </w:rPr>
              <w:t xml:space="preserve">, </w:t>
            </w:r>
            <w:r>
              <w:rPr>
                <w:rFonts w:eastAsia="Times New Roman"/>
                <w:szCs w:val="28"/>
              </w:rPr>
              <w:t>где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МС – % исполнения показателя «Предоставление земельных участков многодетным семьям».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Кпр – количество предоставленных земельных участков многодетным семьям, по состоянию на отчетную дату.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0A3FCC" w:rsidRDefault="002C3634">
            <w:pPr>
              <w:ind w:firstLine="709"/>
              <w:jc w:val="both"/>
              <w:rPr>
                <w:rFonts w:eastAsia="Times New Roman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738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4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Проверка использования земель</w:t>
            </w:r>
          </w:p>
        </w:tc>
        <w:tc>
          <w:tcPr>
            <w:tcW w:w="62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Исполнение показателя вычисляется, исходя из выполнения плана по: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выездным обследованиям земель;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перерасчету земельного налога на земельные участки;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устранению самовольного занятия на земельных участках.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показателя «Проверка использования земель» осуществляется по следующей формуле: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Пз=((ВО*0,2+Н*0,4+СЗ*0,4)*Кинц)*100, где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Пз – показатель «Проверка использования земель» (%);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 – процентное исполнение показателя по устранению самовольного занятия на земельных участках.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ВО=├ (ВО (факт))/(ВО (план) )*100┤, где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(план) – количество земельных участков, подлежащих выездным обследованиям.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Н=├ (Н (уфнс))/(Н (осн))*100┤, где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(уфнс) – количество земельных участков, по которым осуществлен расчет земельного налога по ставке 1,5%;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(осн) – количество обследованных в 2022 году земельных участков, по которым имеются основания для расчета земельного налога по ставке 1,5%.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СЗ=├ (СЗ (устр))/(СЗ (факт))*100┤, где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 (устр) – количество земельных участков, на которых устранено самовольное занятие;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 (факт) – количество земельных участков с фактами самовольного занятия, выявленных в 2022 году.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 Кинц - коэффициент инцидента, осуществляется следующим образом: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Кинц равен значению от 0,1 до 1 и зависит от доли материалов МЗК, составленных с нарушениями, от общего количества мероприятий МЗК (ДМнар).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ДМнар=(Мнар/(ЗУ(факт)))*100,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Мнар – количество материалов МЗК, составленных с нарушениями.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ЗУфакт – количество земельных участков, осмотренных в отчетном периоде.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Кинц = 0,1 если  ДМнар = 1,8% и более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Кинц = 0,2, если ДМнар = 1,6-1,79%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Кинц = 0,3, если ДМнар = 1,4-1,59%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Кинц = 0,4, если ДМнар = 1,2-1,39%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Кинц = 0,5, если ДМнар = 1-1,19%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Кинц = 0,6, если ДМнар = 0,8-0,99%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Кинц = 0,7, если ДМнар = 0,6-0,79%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Кинц = 0,8, если ДМнар = 0,4-0,59%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Кинц = 0,9, если ДМнар = 0,2-0,39%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Кинц = 1, если    ДМнар = до 0,19%</w:t>
            </w:r>
          </w:p>
        </w:tc>
        <w:tc>
          <w:tcPr>
            <w:tcW w:w="170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Система ГАС «Управление», ЕГИС ОКНД</w:t>
            </w:r>
          </w:p>
        </w:tc>
        <w:tc>
          <w:tcPr>
            <w:tcW w:w="1275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Ежемесячно/ежедневно</w:t>
            </w:r>
          </w:p>
        </w:tc>
      </w:tr>
      <w:tr w:rsidR="000A3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4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62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:rsidR="000A3FCC" w:rsidRDefault="002C3634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0A3FCC" w:rsidRDefault="002C3634">
            <w:pPr>
              <w:pStyle w:val="afa"/>
              <w:ind w:right="0" w:firstLine="0"/>
              <w:jc w:val="center"/>
              <w:rPr>
                <w:rFonts w:eastAsiaTheme="minorHAnsi"/>
                <w:sz w:val="24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4"/>
                  <w:lang w:eastAsia="en-US"/>
                </w:rPr>
                <m:t>Пi3</m:t>
              </m:r>
              <m:r>
                <m:rPr>
                  <m:sty m:val="p"/>
                </m:rPr>
                <w:rPr>
                  <w:rFonts w:ascii="Cambria Math" w:eastAsiaTheme="minorHAnsi"/>
                  <w:sz w:val="24"/>
                  <w:lang w:eastAsia="en-US"/>
                </w:rPr>
                <m:t>=</m:t>
              </m:r>
              <m:d>
                <m:dPr>
                  <m:ctrlPr>
                    <w:rPr>
                      <w:rFonts w:ascii="Cambria Math" w:eastAsiaTheme="minorHAnsi" w:hAnsi="Cambria Math"/>
                      <w:sz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24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24"/>
                          <w:lang w:eastAsia="en-US"/>
                        </w:rPr>
                        <m:t>Кп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HAnsi"/>
                          <w:sz w:val="24"/>
                          <w:lang w:eastAsia="en-US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24"/>
                          <w:lang w:eastAsia="en-US"/>
                        </w:rPr>
                        <m:t>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24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24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24"/>
                  <w:lang w:eastAsia="en-US"/>
                </w:rPr>
                <m:t>*</m:t>
              </m:r>
              <m:r>
                <m:rPr>
                  <m:sty m:val="p"/>
                </m:rPr>
                <w:rPr>
                  <w:rFonts w:ascii="Cambria Math" w:eastAsiaTheme="minorHAnsi"/>
                  <w:sz w:val="24"/>
                  <w:lang w:eastAsia="en-US"/>
                </w:rPr>
                <m:t xml:space="preserve">100%, </m:t>
              </m:r>
            </m:oMath>
            <w:r>
              <w:rPr>
                <w:rFonts w:eastAsiaTheme="minorEastAsia"/>
                <w:sz w:val="24"/>
                <w:lang w:eastAsia="en-US"/>
              </w:rPr>
              <w:t>где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С – количество направленных и принятых на рассмотрение актов осмотров МЗК в комиссию по самовольным строениям 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 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Рвно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Плановое значение – 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5% январь – март;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40% январь – июнь;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70% январь – сентябрь;</w:t>
            </w:r>
          </w:p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8"/>
              </w:rPr>
              <w:t>90% январь – декабрь.</w:t>
            </w:r>
          </w:p>
        </w:tc>
        <w:tc>
          <w:tcPr>
            <w:tcW w:w="170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Минмособлимущество, данные, внесенные ОМС в ГАС «Управление»</w:t>
            </w:r>
          </w:p>
        </w:tc>
        <w:tc>
          <w:tcPr>
            <w:tcW w:w="1275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0A3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4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Прирост земельного налога</w:t>
            </w:r>
          </w:p>
        </w:tc>
        <w:tc>
          <w:tcPr>
            <w:tcW w:w="62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Пзн – Процент собираемости земельного налога. 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 xml:space="preserve">Система ГАС «Управление», </w:t>
            </w:r>
            <w:r>
              <w:rPr>
                <w:rFonts w:eastAsiaTheme="minorEastAsia" w:cs="Times New Roman"/>
                <w:sz w:val="22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275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0A3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Показатель рассчитывается по формуле:</w:t>
            </w:r>
          </w:p>
          <w:p w:rsidR="000A3FCC" w:rsidRDefault="002C3634">
            <w:pPr>
              <w:ind w:firstLine="851"/>
              <w:jc w:val="both"/>
              <w:rPr>
                <w:sz w:val="10"/>
                <w:szCs w:val="10"/>
              </w:rPr>
            </w:pPr>
            <w:r>
              <w:rPr>
                <w:sz w:val="24"/>
                <w:szCs w:val="28"/>
              </w:rPr>
              <w:t xml:space="preserve"> </w:t>
            </w:r>
          </w:p>
          <w:p w:rsidR="000A3FCC" w:rsidRDefault="002C3634">
            <w:pPr>
              <w:ind w:firstLine="851"/>
              <w:jc w:val="center"/>
              <w:rPr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Па=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>
              <w:rPr>
                <w:sz w:val="24"/>
                <w:szCs w:val="28"/>
              </w:rPr>
              <w:t>, где</w:t>
            </w:r>
          </w:p>
          <w:p w:rsidR="000A3FCC" w:rsidRDefault="000A3FCC">
            <w:pPr>
              <w:ind w:firstLine="851"/>
              <w:jc w:val="both"/>
              <w:rPr>
                <w:sz w:val="10"/>
                <w:szCs w:val="10"/>
              </w:rPr>
            </w:pPr>
          </w:p>
          <w:p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Па – процент проведенных аукционов, %</w:t>
            </w:r>
          </w:p>
          <w:p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  <w:r>
              <w:rPr>
                <w:sz w:val="24"/>
                <w:szCs w:val="28"/>
              </w:rPr>
              <w:br/>
            </w:r>
            <w:r>
              <w:rPr>
                <w:rFonts w:cs="Times New Roman"/>
                <w:sz w:val="24"/>
                <w:szCs w:val="28"/>
              </w:rPr>
              <w:t xml:space="preserve">              Плановое значение показателя:  1 квартал - 5%;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2 квартал - 10%; 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3 квартал - 15%;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4 квартал (год) - 20%.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  <w:r>
              <w:rPr>
                <w:sz w:val="22"/>
              </w:rPr>
              <w:t>, ОМС,</w:t>
            </w:r>
          </w:p>
          <w:p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 xml:space="preserve">официальный сайт торгов РФ, официальный сайт торгов МО, Комитет </w:t>
            </w:r>
            <w:r>
              <w:rPr>
                <w:sz w:val="22"/>
              </w:rPr>
              <w:br/>
              <w:t>по конкурентной политике МО.</w:t>
            </w:r>
          </w:p>
          <w:p w:rsidR="000A3FCC" w:rsidRDefault="000A3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0A3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Показатель отражает работу органов местного самоуправления, направленную 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 Инвестиционном портале Московской области (далее – ИП).</w:t>
            </w:r>
          </w:p>
          <w:p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рассчитывается по следующей формуле: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П=80%*П1+20%*П2,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где: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П1 – доля расторгнутых договоров аренды;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П2 – доля земельных участков, размещенных на ИП.</w:t>
            </w:r>
          </w:p>
          <w:p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 П1 (доля расторгнутых договоров аренды) осуществляется по формуле: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П"1"=(Рф+Рдп*0,1+Рсп*0,7 )/(Рп )*100, где:</w:t>
            </w:r>
          </w:p>
          <w:p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Рп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 – количество расторгнутых договоров аренды в отчетном году.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Рдп – количество договоров аренды, в отношении которых направлена досудебная претензия.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Рсп – количество договоров аренды, в отношении которых приняты меры 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расторжению, а именно: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подано исковое заявление в суд;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исковое заявление находится на рассмотрении в суде;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0,1 и 0,7 – понижающие коэффициенты.</w:t>
            </w:r>
          </w:p>
          <w:p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 П2 (доля земельных участков, размещенных на ИП) осуществляется по формуле: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П"2"=(ИПф )/(ИПп-ИПн)* 100, где:</w:t>
            </w:r>
          </w:p>
          <w:p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стадии изменения ВРИ; 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стадии раздела, объединения, перераспределения; 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для предоставления многодетным семьям/врачам/участникам СВО; 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для передачи в собственность другого ОМС/МО/РФ; 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карьер/ТБО, необходимо выполнить рекультивацию; 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процессе снятия обременения/ограничения; 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судебный акт обжалуется; 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оформление ОКС, расположенных на ЗУ, в собственность арендатора;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выкуп земельного участка.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П"1" .</w:t>
            </w:r>
          </w:p>
          <w:p w:rsidR="000A3FCC" w:rsidRDefault="002C3634">
            <w:pPr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Источники: данные ГАСУ, РГИС, ЕИСУГИ 2.0, ИП.</w:t>
            </w:r>
          </w:p>
          <w:p w:rsidR="000A3FCC" w:rsidRDefault="002C3634">
            <w:pPr>
              <w:ind w:firstLine="709"/>
              <w:jc w:val="both"/>
              <w:rPr>
                <w:rFonts w:eastAsia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Плановое значение – 100%.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A3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U6=DL / (D – БП)*100%, где:</w:t>
            </w:r>
          </w:p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 – объем муниципального долга бюджета муниципального образования;</w:t>
            </w:r>
          </w:p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– общий годовой объем доходов местного бюджета;</w:t>
            </w:r>
          </w:p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:rsidR="000A3FCC" w:rsidRDefault="000A3FCC">
            <w:pPr>
              <w:ind w:firstLine="851"/>
              <w:jc w:val="both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Ежеквартально, годовая</w:t>
            </w:r>
          </w:p>
        </w:tc>
      </w:tr>
      <w:tr w:rsidR="000A3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 = Rm/ (Ri- Rs) *100%, где:</w:t>
            </w:r>
          </w:p>
          <w:p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 - утвержденный объем расходов на обслуживание муниципального долга в отчетном финансовом году;</w:t>
            </w:r>
          </w:p>
          <w:p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 – утвержденный общий объем расходов бюджета Сергиево-Посадского городского округа в отчетном финансовом году.</w:t>
            </w:r>
          </w:p>
          <w:p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 - утвержденный объем расходов бюджета Сергиево-Посадского городского округа в отчетном финансовом году, которые осуществляются за счет субвенций, предоставляемых от бюджетов других уровней.</w:t>
            </w:r>
          </w:p>
          <w:p w:rsidR="000A3FCC" w:rsidRDefault="000A3F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Квартальная, годовая</w:t>
            </w:r>
          </w:p>
          <w:p w:rsidR="000A3FCC" w:rsidRDefault="000A3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0A3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просроченной кредиторской задолженности в расходах бюджета Сергиево-Посадского городского округа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:rsidR="000A3FCC" w:rsidRDefault="002C3634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>2= (</w:t>
            </w:r>
            <w:r>
              <w:rPr>
                <w:sz w:val="24"/>
                <w:szCs w:val="24"/>
                <w:lang w:val="en-US"/>
              </w:rPr>
              <w:t>PZi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Ri</w:t>
            </w:r>
            <w:r>
              <w:rPr>
                <w:sz w:val="24"/>
                <w:szCs w:val="24"/>
              </w:rPr>
              <w:t xml:space="preserve">*100% – </w:t>
            </w:r>
            <w:r>
              <w:rPr>
                <w:sz w:val="24"/>
                <w:szCs w:val="24"/>
                <w:lang w:val="en-US"/>
              </w:rPr>
              <w:t>PZi</w:t>
            </w:r>
            <w:r>
              <w:rPr>
                <w:sz w:val="24"/>
                <w:szCs w:val="24"/>
              </w:rPr>
              <w:t>-1/</w:t>
            </w:r>
            <w:r>
              <w:rPr>
                <w:sz w:val="24"/>
                <w:szCs w:val="24"/>
                <w:lang w:val="en-US"/>
              </w:rPr>
              <w:t>Ri</w:t>
            </w:r>
            <w:r>
              <w:rPr>
                <w:sz w:val="24"/>
                <w:szCs w:val="24"/>
              </w:rPr>
              <w:t>-1 *100%), где</w:t>
            </w:r>
          </w:p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PZi – объем просроченной кредиторской задолженности бюджета Сергиево-Посадского городского округа в отчетном финансовом году;</w:t>
            </w:r>
          </w:p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 – утвержденный объем расходов бюджета Сергиево-Посадского городского округа в отчетном финансовом году;</w:t>
            </w:r>
          </w:p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PZi-1 – объем просроченной кредиторской задолженности бюджета Сергиево-Посадского городского округа в году, предшествующему отчетному;</w:t>
            </w:r>
          </w:p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Ri-1 – утвержденный объем расходов бюджета муниципального образования в году, предшествующему отчетному.</w:t>
            </w:r>
          </w:p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Отрицательное значение показателя свидетельствует о снижении просроченной кредиторской задолженности.</w:t>
            </w:r>
          </w:p>
          <w:p w:rsidR="000A3FCC" w:rsidRDefault="002C3634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данных: отчетность финансового управления администрации Сергиево-Посадского городского округа.</w:t>
            </w:r>
          </w:p>
          <w:p w:rsidR="000A3FCC" w:rsidRDefault="000A3F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годовая, квартальная</w:t>
            </w:r>
          </w:p>
          <w:p w:rsidR="000A3FCC" w:rsidRDefault="000A3FCC">
            <w:pPr>
              <w:ind w:right="-15"/>
              <w:jc w:val="both"/>
              <w:rPr>
                <w:sz w:val="24"/>
                <w:szCs w:val="24"/>
              </w:rPr>
            </w:pPr>
          </w:p>
        </w:tc>
      </w:tr>
      <w:tr w:rsidR="000A3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lef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Df    = Rf    / K f * 100% , где</w:t>
            </w:r>
          </w:p>
          <w:p w:rsidR="000A3FCC" w:rsidRDefault="002C3634">
            <w:pPr>
              <w:ind w:left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Df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выплате;</w:t>
            </w:r>
          </w:p>
          <w:p w:rsidR="000A3FCC" w:rsidRDefault="002C3634">
            <w:pPr>
              <w:ind w:left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Rf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      </w:r>
          </w:p>
          <w:p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ежеквартальная).</w:t>
            </w:r>
          </w:p>
          <w:p w:rsidR="000A3FCC" w:rsidRDefault="000A3F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годовая, квартальная</w:t>
            </w:r>
          </w:p>
        </w:tc>
      </w:tr>
      <w:tr w:rsidR="000A3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муниципальных служащих, повысивших свой профессиональный уровень, предоставляются работником отдела муниципальной службы и кадров ежеквартально. Базовое значение показателя (на начало реализации подпрограммы): 100%.</w:t>
            </w:r>
          </w:p>
          <w:p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Периодичность: годовая, квартальная.</w:t>
            </w:r>
          </w:p>
          <w:p w:rsidR="000A3FCC" w:rsidRDefault="002C3634">
            <w:pPr>
              <w:autoSpaceDE w:val="0"/>
              <w:autoSpaceDN w:val="0"/>
              <w:adjustRightInd w:val="0"/>
              <w:spacing w:after="120"/>
              <w:ind w:firstLine="709"/>
              <w:jc w:val="center"/>
              <w:rPr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Дмспп=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Кпп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Кмспо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×100%</m:t>
              </m:r>
            </m:oMath>
            <w:r>
              <w:rPr>
                <w:sz w:val="24"/>
                <w:szCs w:val="24"/>
              </w:rPr>
              <w:t>, где</w:t>
            </w:r>
          </w:p>
          <w:p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Дмспп - доля муниципальных служащих, повысивших свой профессиональный уровень</w:t>
            </w:r>
          </w:p>
          <w:p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– количество муниципальных служащих, повысивших свой профессиональный уровень</w:t>
            </w:r>
          </w:p>
          <w:p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Кмспо – количество муниципальных служащих, подлежащих обучению.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отдела муниципальной службы и кадров администрации Сергиево-Посадского городского округа Московской области</w:t>
            </w:r>
          </w:p>
          <w:p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годовая, квартальная</w:t>
            </w:r>
          </w:p>
        </w:tc>
      </w:tr>
    </w:tbl>
    <w:p w:rsidR="000A3FCC" w:rsidRDefault="000A3FCC">
      <w:pPr>
        <w:pStyle w:val="ConsPlusNormal"/>
        <w:rPr>
          <w:rFonts w:ascii="Times New Roman" w:hAnsi="Times New Roman" w:cs="Times New Roman"/>
          <w:color w:val="FF0000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945E71" w:rsidRDefault="00945E71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0556D3" w:rsidRDefault="000556D3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0A3FCC" w:rsidRDefault="002C3634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  <w:r>
        <w:rPr>
          <w:rFonts w:eastAsiaTheme="minorEastAsia" w:cs="Times New Roman"/>
          <w:b/>
          <w:szCs w:val="28"/>
          <w:lang w:eastAsia="ru-RU"/>
        </w:rPr>
        <w:t>6. Методика расчета значений результатов реализации муниципальной программы.</w:t>
      </w: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94"/>
        <w:gridCol w:w="621"/>
        <w:gridCol w:w="7796"/>
        <w:gridCol w:w="1559"/>
        <w:gridCol w:w="1701"/>
      </w:tblGrid>
      <w:tr w:rsidR="000A3FCC" w:rsidTr="002145EB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Расчет осуществляется исходя из количества объектов в муниципальной собственности в отношении которых были заключены договоры на содержание, обеспечение коммунальными ресурсами, оценки имущества, получение расчета долей, технических заключений, на проведение аудита, подготовки технических паспортов и технических планов, получение вознаграждения за сбор платы за социальный наем.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Количество объектов в договорах Управления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0A3FCC" w:rsidTr="002145EB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3D7B53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объектов,</w:t>
            </w:r>
            <w:r w:rsidR="002C3634">
              <w:rPr>
                <w:sz w:val="24"/>
                <w:szCs w:val="28"/>
              </w:rPr>
              <w:t xml:space="preserve"> в отношении которых заключен договор на оплату взносов на капитальный ремонт общего имущества многоквартирного дома квартир, расчеты за которые производятся </w:t>
            </w:r>
            <w:r>
              <w:rPr>
                <w:sz w:val="24"/>
                <w:szCs w:val="28"/>
              </w:rPr>
              <w:t>на специальный</w:t>
            </w:r>
            <w:r w:rsidR="002C3634">
              <w:rPr>
                <w:sz w:val="24"/>
                <w:szCs w:val="28"/>
              </w:rPr>
              <w:t xml:space="preserve"> счет в целях формирования фонда капитального ремонта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Количество объектов в реестре муниципального имущества за которые необходимо уплачивать взносы на капитальный ремонт в силу действующего законодательства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0A3FCC" w:rsidTr="002145EB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Заключенные договоры на выполнение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0A3FCC" w:rsidTr="002145EB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Количество оказанных услуг в области земельных отношений органами местного самоуправления муниципальных образований Московской </w:t>
            </w:r>
            <w:r w:rsidR="003D7B53">
              <w:rPr>
                <w:sz w:val="24"/>
                <w:szCs w:val="28"/>
              </w:rPr>
              <w:t>области в</w:t>
            </w:r>
            <w:r>
              <w:rPr>
                <w:sz w:val="24"/>
                <w:szCs w:val="28"/>
              </w:rPr>
              <w:t xml:space="preserve"> соответствии с данными модуля оказания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Модуль оказания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0A3FCC" w:rsidTr="002145EB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Количество объектов, в отношении которых обеспечивалась деятельность муниципальных органов в сфере </w:t>
            </w:r>
            <w:r w:rsidR="002145E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земельно -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имущественных отношений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8B4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Е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объектов (объектов капитального строительства, земельных участков) числящихся в реестре муниципального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Реестр муниципального имущества Сергиево-Посадского городского округа, ЕИСУГИ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0A3FCC" w:rsidTr="002145EB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Оплата процентов                 по бюджетным кредитам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Расчет значения результата осуществляется на основе факта оплаты процентов за пользованием бюджетного кредита по установленному сроку уплаты. В случае уплаты – значения показателя – «да», в случае неуплаты – значения показателя – «нет»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Договор о предоставлении бюджетного кредита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Ежегодно</w:t>
            </w:r>
          </w:p>
        </w:tc>
      </w:tr>
      <w:tr w:rsidR="000A3FCC" w:rsidTr="002145EB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suppressAutoHyphens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Оплата процентов по коммерческим кредитам </w:t>
            </w:r>
          </w:p>
          <w:p w:rsidR="000A3FCC" w:rsidRDefault="000A3F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Расчет значения результата осуществляется на основе факта оплаты процентов за пользованием коммерческими кредитами по установленному сроку уплаты. В случае уплаты – значения показателя – «да», в случае неуплаты – значения показателя – «нет»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Муниципальный контракт на предоставление коммерческого кредита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14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0A3FCC" w:rsidTr="002145EB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 xml:space="preserve">Прогноз представлен в финансовое управление администрации городского округа </w:t>
            </w:r>
          </w:p>
          <w:p w:rsidR="000A3FCC" w:rsidRDefault="000A3F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Расчет значения результата осуществляется на основе факта своевременного представления в финансовый орган городского округа прогноза поступлений доходов главными администраторами доходов. В случае своевременного предоставления прогноза – значения показателя – «да», в случае непредставления – значения показателя – «нет»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Отчетность главных администраторов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0A3FCC" w:rsidTr="002145EB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Прогноз поступлений налоговых и неналоговых доходов на предстоящий месяц сформирован </w:t>
            </w:r>
          </w:p>
          <w:p w:rsidR="000A3FCC" w:rsidRDefault="000A3FCC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</w:p>
          <w:p w:rsidR="000A3FCC" w:rsidRDefault="000A3F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Расчет значения результата осуществляется на основе факта формирования финансовым органом городского округа прогноза поступлений налоговых и неналоговых доходов на предстоящий месяц. В случае факта формирования прогноза на предстоящий месяц - значения показателя – «да», в случае непредставления – значения показателя – «нет»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Отчетность главных администраторов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Ежемесячно</w:t>
            </w:r>
          </w:p>
        </w:tc>
      </w:tr>
      <w:tr w:rsidR="000A3FCC" w:rsidTr="002145EB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Снижение задолженности по налоговым платежам перед консолидированным бюджетом Московской области за отчетный год </w:t>
            </w:r>
          </w:p>
          <w:p w:rsidR="000A3FCC" w:rsidRDefault="000A3FCC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Расчет значения результата осуществляется на основании факта снижения задолженности по налоговым платежам перед консолидированным бюджетом Московской области за отчетный год. В случае факта снижения задолженности за отчетный год - значения показателя – «да», в случае увеличения задолженности – значения показателя – «нет»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Сведения о задолженности по налоговым и неналоговым платежам  из МЭФ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Ежегодно</w:t>
            </w:r>
          </w:p>
        </w:tc>
      </w:tr>
      <w:tr w:rsidR="000A3FCC" w:rsidTr="002145EB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</w:rPr>
              <w:t xml:space="preserve">Увеличение налоговых и неналоговых  доходов местного бюджета </w:t>
            </w:r>
          </w:p>
          <w:p w:rsidR="000A3FCC" w:rsidRDefault="000A3FCC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Расчет значения результата осуществляется на основании факта увеличения поступлений налоговых и неналоговых доходов местного бюджета за отчетный год. В случае факта роста налоговых и неналоговых доходов местного бюджета - значения показателя – «да», в случае отсутствия роста поступлений налоговых и неналоговых доходов местного бюджета– значения показателя – «нет»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Отчетность об исполнении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Ежегодно</w:t>
            </w:r>
          </w:p>
        </w:tc>
      </w:tr>
    </w:tbl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052DD" w:rsidRDefault="00D052DD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val="en-US" w:eastAsia="ru-RU"/>
        </w:rPr>
      </w:pPr>
    </w:p>
    <w:p w:rsidR="00945E71" w:rsidRDefault="00945E71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val="en-US" w:eastAsia="ru-RU"/>
        </w:rPr>
      </w:pPr>
    </w:p>
    <w:p w:rsidR="00DB119A" w:rsidRDefault="00DB119A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val="en-US" w:eastAsia="ru-RU"/>
        </w:rPr>
      </w:pPr>
    </w:p>
    <w:p w:rsidR="00DB119A" w:rsidRDefault="00DB119A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val="en-US" w:eastAsia="ru-RU"/>
        </w:rPr>
      </w:pPr>
    </w:p>
    <w:p w:rsidR="00DB119A" w:rsidRDefault="00DB119A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val="en-US" w:eastAsia="ru-RU"/>
        </w:rPr>
      </w:pPr>
    </w:p>
    <w:p w:rsidR="00DB119A" w:rsidRDefault="00DB119A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val="en-US" w:eastAsia="ru-RU"/>
        </w:rPr>
      </w:pPr>
    </w:p>
    <w:p w:rsidR="00DB119A" w:rsidRPr="00D97896" w:rsidRDefault="00DB119A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val="en-US"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2C363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>
        <w:rPr>
          <w:rFonts w:eastAsia="Times New Roman" w:cs="Times New Roman"/>
          <w:b/>
          <w:lang w:eastAsia="ru-RU"/>
        </w:rPr>
        <w:t xml:space="preserve">7. Перечень мероприятий подпрограммы </w:t>
      </w:r>
      <w:r>
        <w:rPr>
          <w:rFonts w:eastAsia="Times New Roman" w:cs="Times New Roman"/>
          <w:b/>
          <w:sz w:val="23"/>
          <w:szCs w:val="23"/>
          <w:lang w:eastAsia="ru-RU"/>
        </w:rPr>
        <w:t>I «Эффективное управление имущественным комплексом»</w:t>
      </w:r>
    </w:p>
    <w:p w:rsidR="000A3FCC" w:rsidRDefault="000A3F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66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2378"/>
        <w:gridCol w:w="1282"/>
        <w:gridCol w:w="1127"/>
        <w:gridCol w:w="1162"/>
        <w:gridCol w:w="865"/>
        <w:gridCol w:w="405"/>
        <w:gridCol w:w="30"/>
        <w:gridCol w:w="75"/>
        <w:gridCol w:w="60"/>
        <w:gridCol w:w="140"/>
        <w:gridCol w:w="220"/>
        <w:gridCol w:w="245"/>
        <w:gridCol w:w="130"/>
        <w:gridCol w:w="30"/>
        <w:gridCol w:w="60"/>
        <w:gridCol w:w="315"/>
        <w:gridCol w:w="1083"/>
        <w:gridCol w:w="1172"/>
        <w:gridCol w:w="15"/>
        <w:gridCol w:w="1501"/>
        <w:gridCol w:w="9"/>
        <w:gridCol w:w="1130"/>
        <w:gridCol w:w="1559"/>
      </w:tblGrid>
      <w:tr w:rsidR="000A3FCC" w:rsidTr="0016749D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0A3FCC" w:rsidTr="0016749D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2026год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3FCC" w:rsidTr="0016749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0A3FCC" w:rsidTr="0016749D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0A3FCC" w:rsidRDefault="002C3634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 выполнение кадастровых работ</w:t>
            </w:r>
          </w:p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2023-2027 г.г.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6F5B63" w:rsidRDefault="00974934" w:rsidP="00850914">
            <w:pPr>
              <w:widowControl w:val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538</w:t>
            </w:r>
            <w:r w:rsidR="00DB119A">
              <w:rPr>
                <w:rFonts w:cs="Times New Roman"/>
                <w:b/>
                <w:sz w:val="20"/>
              </w:rPr>
              <w:t> 251</w:t>
            </w:r>
            <w:r w:rsidR="00850914">
              <w:rPr>
                <w:rFonts w:cs="Times New Roman"/>
                <w:b/>
                <w:sz w:val="20"/>
              </w:rPr>
              <w:t>,0</w:t>
            </w:r>
            <w:r w:rsidR="008413B1">
              <w:rPr>
                <w:rFonts w:cs="Times New Roman"/>
                <w:b/>
                <w:sz w:val="20"/>
              </w:rPr>
              <w:t>1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417139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141</w:t>
            </w:r>
            <w:r w:rsidR="00DB119A">
              <w:rPr>
                <w:rFonts w:cs="Times New Roman"/>
                <w:sz w:val="20"/>
              </w:rPr>
              <w:t> 016</w:t>
            </w:r>
            <w:r w:rsidR="008413B1">
              <w:rPr>
                <w:rFonts w:cs="Times New Roman"/>
                <w:sz w:val="20"/>
              </w:rPr>
              <w:t>,46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DC7F4B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100 263,65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AC69E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98 990,30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AC69E8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98 990,30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98 99</w:t>
            </w:r>
            <w:r w:rsidR="00AC69E8">
              <w:rPr>
                <w:rFonts w:cs="Times New Roman"/>
                <w:sz w:val="20"/>
              </w:rPr>
              <w:t>0,30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муниципальной собственности администрации Сергиево-Посадского городского округа </w:t>
            </w:r>
          </w:p>
        </w:tc>
      </w:tr>
      <w:tr w:rsidR="000A3FCC" w:rsidTr="0016749D">
        <w:trPr>
          <w:trHeight w:val="842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Средства бюджета </w:t>
            </w:r>
            <w:r>
              <w:rPr>
                <w:rFonts w:cs="Times New Roman"/>
                <w:sz w:val="20"/>
              </w:rPr>
              <w:br/>
              <w:t>Московской области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3FCC" w:rsidTr="0016749D">
        <w:trPr>
          <w:trHeight w:val="112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974934" w:rsidP="0085091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538</w:t>
            </w:r>
            <w:r w:rsidR="00DB119A">
              <w:rPr>
                <w:rFonts w:cs="Times New Roman"/>
                <w:sz w:val="20"/>
              </w:rPr>
              <w:t> 251</w:t>
            </w:r>
            <w:r w:rsidR="00850914">
              <w:rPr>
                <w:rFonts w:cs="Times New Roman"/>
                <w:sz w:val="20"/>
              </w:rPr>
              <w:t>,0</w:t>
            </w:r>
            <w:r w:rsidR="008413B1">
              <w:rPr>
                <w:rFonts w:cs="Times New Roman"/>
                <w:sz w:val="20"/>
              </w:rPr>
              <w:t>1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417139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141</w:t>
            </w:r>
            <w:r w:rsidR="00DB119A">
              <w:rPr>
                <w:rFonts w:cs="Times New Roman"/>
                <w:sz w:val="20"/>
              </w:rPr>
              <w:t> 016</w:t>
            </w:r>
            <w:r w:rsidR="008413B1">
              <w:rPr>
                <w:rFonts w:cs="Times New Roman"/>
                <w:sz w:val="20"/>
              </w:rPr>
              <w:t>,46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DC7F4B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100 263,65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AC69E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98 990,30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 xml:space="preserve">98 </w:t>
            </w:r>
            <w:r w:rsidR="00AC69E8">
              <w:rPr>
                <w:rFonts w:cs="Times New Roman"/>
                <w:sz w:val="20"/>
              </w:rPr>
              <w:t>990,30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AC69E8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98 990,30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3FCC" w:rsidTr="0016749D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1.1.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Мероприятие 02.01.</w:t>
            </w:r>
          </w:p>
          <w:p w:rsidR="000A3FCC" w:rsidRDefault="002C3634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городского округа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2023-2027 г.г.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DB119A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244 307</w:t>
            </w:r>
            <w:r w:rsidR="00850914">
              <w:rPr>
                <w:rFonts w:cs="Times New Roman"/>
                <w:sz w:val="20"/>
              </w:rPr>
              <w:t>,0</w:t>
            </w:r>
            <w:r w:rsidR="008413B1">
              <w:rPr>
                <w:rFonts w:cs="Times New Roman"/>
                <w:sz w:val="20"/>
              </w:rPr>
              <w:t>1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785AC6" w:rsidRDefault="00DB119A">
            <w:pPr>
              <w:widowControl w:val="0"/>
              <w:rPr>
                <w:rFonts w:cs="Times New Roman"/>
                <w:sz w:val="20"/>
                <w:highlight w:val="yellow"/>
              </w:rPr>
            </w:pPr>
            <w:r>
              <w:rPr>
                <w:rFonts w:cs="Times New Roman"/>
                <w:sz w:val="20"/>
              </w:rPr>
              <w:t>73 212</w:t>
            </w:r>
            <w:r w:rsidR="008413B1">
              <w:rPr>
                <w:rFonts w:cs="Times New Roman"/>
                <w:sz w:val="20"/>
              </w:rPr>
              <w:t>,99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70 343,07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E37F0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33 583,65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E37F0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33 583,65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33 583</w:t>
            </w:r>
            <w:r w:rsidR="002E37F0">
              <w:rPr>
                <w:rFonts w:eastAsia="Times New Roman" w:cs="Times New Roman"/>
                <w:sz w:val="20"/>
                <w:szCs w:val="20"/>
                <w:lang w:eastAsia="ru-RU"/>
              </w:rPr>
              <w:t>,65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0A3FCC" w:rsidTr="0016749D">
        <w:trPr>
          <w:trHeight w:val="178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DB119A" w:rsidP="00D97896">
            <w:pPr>
              <w:widowControl w:val="0"/>
              <w:ind w:right="-39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244 307</w:t>
            </w:r>
            <w:r w:rsidR="00850914">
              <w:rPr>
                <w:rFonts w:cs="Times New Roman"/>
                <w:sz w:val="20"/>
              </w:rPr>
              <w:t>,0</w:t>
            </w:r>
            <w:r w:rsidR="008413B1">
              <w:rPr>
                <w:rFonts w:cs="Times New Roman"/>
                <w:sz w:val="20"/>
              </w:rPr>
              <w:t>1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785AC6" w:rsidRDefault="00DB119A">
            <w:pPr>
              <w:widowControl w:val="0"/>
              <w:rPr>
                <w:rFonts w:cs="Times New Roman"/>
                <w:sz w:val="20"/>
                <w:highlight w:val="yellow"/>
              </w:rPr>
            </w:pPr>
            <w:r>
              <w:rPr>
                <w:rFonts w:cs="Times New Roman"/>
                <w:sz w:val="20"/>
              </w:rPr>
              <w:t>73 212</w:t>
            </w:r>
            <w:r w:rsidR="008413B1">
              <w:rPr>
                <w:rFonts w:cs="Times New Roman"/>
                <w:sz w:val="20"/>
              </w:rPr>
              <w:t>,99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70 343,07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E37F0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33 583,65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E37F0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33 583,65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E37F0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33 583,65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3FCC" w:rsidTr="0016749D">
        <w:trPr>
          <w:trHeight w:val="647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2023-2027 г.г.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Всего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 2023 год</w:t>
            </w: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2024 год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2025 год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3FCC" w:rsidTr="0016749D">
        <w:trPr>
          <w:trHeight w:val="476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I</w:t>
            </w:r>
          </w:p>
        </w:tc>
        <w:tc>
          <w:tcPr>
            <w:tcW w:w="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III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IV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rPr>
                <w:rFonts w:cs="Times New Roman"/>
                <w:sz w:val="20"/>
              </w:rPr>
            </w:pPr>
          </w:p>
        </w:tc>
        <w:tc>
          <w:tcPr>
            <w:tcW w:w="11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3FCC" w:rsidTr="0016749D">
        <w:trPr>
          <w:trHeight w:val="90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10560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10560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2640</w:t>
            </w:r>
          </w:p>
        </w:tc>
        <w:tc>
          <w:tcPr>
            <w:tcW w:w="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2640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2640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2640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10 560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10 560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10 560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10 560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3FCC" w:rsidTr="0016749D">
        <w:trPr>
          <w:trHeight w:val="1447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1.2.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Мероприятие 02.02.</w:t>
            </w:r>
          </w:p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2023-2027 г.г.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417139" w:rsidP="00D97896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293 944,0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785AC6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67 803,47</w:t>
            </w:r>
            <w:r w:rsidR="002C3634">
              <w:rPr>
                <w:rFonts w:cs="Times New Roman"/>
                <w:sz w:val="20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29 920,58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65 406,65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65 406,65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65 406,65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</w:t>
            </w:r>
          </w:p>
        </w:tc>
      </w:tr>
      <w:tr w:rsidR="000A3FCC" w:rsidTr="0016749D">
        <w:trPr>
          <w:trHeight w:val="1072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2023-2027 г.г.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Всего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 2023 год</w:t>
            </w: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 том числе по кварталам: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2024 год</w:t>
            </w: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2025 год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3FCC" w:rsidTr="0016749D"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</w:t>
            </w:r>
          </w:p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</w:t>
            </w:r>
          </w:p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III</w:t>
            </w:r>
          </w:p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IV</w:t>
            </w:r>
          </w:p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1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3FCC" w:rsidTr="0016749D">
        <w:trPr>
          <w:trHeight w:val="1086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8513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9057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9057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9057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9057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9057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8513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8513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8513</w:t>
            </w:r>
          </w:p>
          <w:p w:rsidR="000A3FCC" w:rsidRDefault="000A3FC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8513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3FCC" w:rsidTr="0016749D">
        <w:trPr>
          <w:trHeight w:val="140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1.3.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Мероприятие 02.03.</w:t>
            </w:r>
          </w:p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2023-2027 г.г.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Итого:</w:t>
            </w:r>
          </w:p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  <w:p w:rsidR="000A3FCC" w:rsidRDefault="000A3FC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  <w:p w:rsidR="000A3FCC" w:rsidRDefault="000A3FC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землепользования</w:t>
            </w:r>
          </w:p>
        </w:tc>
      </w:tr>
      <w:tr w:rsidR="000A3FCC" w:rsidTr="0016749D">
        <w:trPr>
          <w:trHeight w:val="1048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2023-2027 г.г.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Всего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 2023 год</w:t>
            </w: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 том числе по кварталам: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2024 год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3FCC" w:rsidTr="0016749D">
        <w:trPr>
          <w:trHeight w:val="447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III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IV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3FCC" w:rsidTr="0016749D">
        <w:trPr>
          <w:trHeight w:val="252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3FCC" w:rsidTr="0016749D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2023-2027 г.г.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6F5B63" w:rsidRDefault="002C3634">
            <w:pPr>
              <w:widowControl w:val="0"/>
              <w:rPr>
                <w:rFonts w:cs="Times New Roman"/>
                <w:b/>
                <w:sz w:val="20"/>
              </w:rPr>
            </w:pPr>
            <w:r w:rsidRPr="006F5B63">
              <w:rPr>
                <w:rFonts w:cs="Times New Roman"/>
                <w:b/>
                <w:sz w:val="20"/>
              </w:rPr>
              <w:t>41 760,00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13 920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землепользования</w:t>
            </w:r>
          </w:p>
        </w:tc>
      </w:tr>
      <w:tr w:rsidR="000A3FCC" w:rsidTr="0016749D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Средства бюджета </w:t>
            </w:r>
            <w:r>
              <w:rPr>
                <w:rFonts w:cs="Times New Roman"/>
                <w:sz w:val="20"/>
              </w:rPr>
              <w:br/>
              <w:t>Московской области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41 760,00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13 920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землепользования</w:t>
            </w:r>
          </w:p>
        </w:tc>
      </w:tr>
      <w:tr w:rsidR="000A3FCC" w:rsidTr="0016749D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2.1.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Мероприятие 03.01.</w:t>
            </w:r>
          </w:p>
          <w:p w:rsidR="000A3FCC" w:rsidRDefault="002C3634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  <w:p w:rsidR="000A3FCC" w:rsidRDefault="000A3FCC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2023-2027 г.г.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41 760,00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13 920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землепользования</w:t>
            </w:r>
          </w:p>
        </w:tc>
      </w:tr>
      <w:tr w:rsidR="000A3FCC" w:rsidTr="0016749D">
        <w:trPr>
          <w:trHeight w:val="2709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Средства бюджета </w:t>
            </w:r>
          </w:p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Московской области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41 760,00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13 920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3FCC" w:rsidTr="0016749D">
        <w:trPr>
          <w:cantSplit/>
          <w:trHeight w:val="5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2023-2027 г.г.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Всего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 2023 год</w:t>
            </w: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 том числе по кварталам: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2024 год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3FCC" w:rsidTr="0016749D">
        <w:trPr>
          <w:cantSplit/>
          <w:trHeight w:val="5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</w:t>
            </w:r>
          </w:p>
        </w:tc>
        <w:tc>
          <w:tcPr>
            <w:tcW w:w="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III</w:t>
            </w: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IV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3FCC" w:rsidTr="0016749D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22140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4428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1107</w:t>
            </w:r>
          </w:p>
        </w:tc>
        <w:tc>
          <w:tcPr>
            <w:tcW w:w="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1107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1107</w:t>
            </w: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1107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4428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4428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r>
              <w:rPr>
                <w:rFonts w:cs="Times New Roman"/>
                <w:sz w:val="20"/>
              </w:rPr>
              <w:t>4428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r>
              <w:rPr>
                <w:rFonts w:cs="Times New Roman"/>
                <w:sz w:val="20"/>
              </w:rPr>
              <w:t>4428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3FCC" w:rsidTr="0016749D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2023-2027 г.г.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6F5B63" w:rsidRDefault="00346B99">
            <w:pPr>
              <w:widowControl w:val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111 082,88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346B99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26 195,97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A455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21 425,81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0A3FCC" w:rsidTr="0016749D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346B99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111 082,88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34667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25759,80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21 425,8</w:t>
            </w:r>
            <w:r w:rsidR="0032567A">
              <w:rPr>
                <w:rFonts w:cs="Times New Roman"/>
                <w:sz w:val="20"/>
              </w:rPr>
              <w:t>1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46674" w:rsidTr="0016749D"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346674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346674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346674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346674" w:rsidP="0034667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Средства бюджета </w:t>
            </w:r>
          </w:p>
          <w:p w:rsidR="00346674" w:rsidRDefault="00346674" w:rsidP="0034667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Московской области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16749D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436,17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346674" w:rsidP="0016749D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  <w:r w:rsidR="0016749D">
              <w:rPr>
                <w:rFonts w:cs="Times New Roman"/>
                <w:sz w:val="20"/>
              </w:rPr>
              <w:t>36,17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34667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34667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34667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34667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34667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3FCC" w:rsidTr="0016749D">
        <w:trPr>
          <w:trHeight w:val="1709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3.1.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Мероприятие 04.01.</w:t>
            </w:r>
          </w:p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2023-2027 г.г.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346B99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111 082,88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34667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25759,80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32567A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21 425,81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346674" w:rsidTr="0016749D">
        <w:trPr>
          <w:trHeight w:val="1357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346674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346674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346674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346674" w:rsidP="0034667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Средства бюджета </w:t>
            </w:r>
          </w:p>
          <w:p w:rsidR="00346674" w:rsidRDefault="00346674" w:rsidP="0034667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Московской области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16749D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436,17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16749D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436,17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34667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34667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34667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34667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4" w:rsidRDefault="0034667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3FCC" w:rsidTr="0016749D">
        <w:trPr>
          <w:cantSplit/>
          <w:trHeight w:val="180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2023-2027 г.г.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Всего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 2023 год</w:t>
            </w: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2024 год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0A3FCC" w:rsidTr="0016749D">
        <w:trPr>
          <w:cantSplit/>
          <w:trHeight w:val="312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</w:rPr>
              <w:t>I</w:t>
            </w:r>
          </w:p>
        </w:tc>
        <w:tc>
          <w:tcPr>
            <w:tcW w:w="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jc w:val="center"/>
              <w:rPr>
                <w:rFonts w:cs="Times New Roman"/>
                <w:sz w:val="20"/>
                <w:lang w:val="en-US"/>
              </w:rPr>
            </w:pPr>
            <w:r>
              <w:rPr>
                <w:rFonts w:cs="Times New Roman"/>
                <w:sz w:val="20"/>
              </w:rPr>
              <w:t>II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jc w:val="center"/>
              <w:rPr>
                <w:rFonts w:cs="Times New Roman"/>
                <w:sz w:val="20"/>
                <w:lang w:val="en-US"/>
              </w:rPr>
            </w:pPr>
            <w:r>
              <w:rPr>
                <w:rFonts w:cs="Times New Roman"/>
                <w:sz w:val="20"/>
              </w:rPr>
              <w:t>II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jc w:val="center"/>
              <w:rPr>
                <w:rFonts w:cs="Times New Roman"/>
                <w:sz w:val="20"/>
                <w:lang w:val="en-US"/>
              </w:rPr>
            </w:pPr>
            <w:r>
              <w:rPr>
                <w:rFonts w:cs="Times New Roman"/>
                <w:sz w:val="20"/>
              </w:rPr>
              <w:t>IV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1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3FCC" w:rsidTr="0016749D">
        <w:trPr>
          <w:cantSplit/>
          <w:trHeight w:val="5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2394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5986</w:t>
            </w:r>
          </w:p>
        </w:tc>
        <w:tc>
          <w:tcPr>
            <w:tcW w:w="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5986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5986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5986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23944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  <w:p w:rsidR="000A3FCC" w:rsidRDefault="000A3FC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3FCC" w:rsidTr="0016749D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по подпрограмме </w:t>
            </w: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«Эффективное управление имущественным комплексом»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20"/>
              </w:rPr>
              <w:t>2023-2027 г.г.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Итого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72CE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691</w:t>
            </w:r>
            <w:r w:rsidR="004D067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 093,89</w:t>
            </w:r>
          </w:p>
          <w:p w:rsidR="00A45567" w:rsidRDefault="00A455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A45567" w:rsidRPr="006D1F18" w:rsidRDefault="00A455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6A15B3" w:rsidRDefault="002C72CE" w:rsidP="00CB6A7E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181</w:t>
            </w:r>
            <w:r w:rsidR="000D21B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 132,43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6F5B6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135 609,4</w:t>
            </w:r>
            <w:r w:rsidR="006A15B3" w:rsidRPr="006F5B63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A455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134 064,00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C36BF5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120 144,00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6A15B3" w:rsidP="00C36BF5">
            <w:pPr>
              <w:widowControl w:val="0"/>
              <w:ind w:right="-248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120 144,0</w:t>
            </w:r>
            <w:r w:rsidR="00C36BF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3FCC" w:rsidTr="0016749D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4D0678" w:rsidRDefault="004D0678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41 196,17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 w:rsidP="004D0678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4D067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4356,17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13 920,00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13 920,00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850914" w:rsidRDefault="002C3634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3FCC" w:rsidTr="0016749D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Бюджета Сергиево-Посадского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округа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6D1F18" w:rsidRDefault="004D0678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648897,72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4D0678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166 776,26</w:t>
            </w:r>
          </w:p>
          <w:p w:rsidR="004D0678" w:rsidRPr="00DC7F4B" w:rsidRDefault="004D0678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2C3634" w:rsidRDefault="002C3634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121 689,46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A455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120 144,00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C36BF5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120 144,00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6A15B3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120 </w:t>
            </w:r>
            <w:r w:rsidR="00C36BF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8413B1" w:rsidRDefault="008413B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8413B1" w:rsidRDefault="008413B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6D1F18" w:rsidRDefault="00ED24D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  </w:t>
      </w: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2C363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>
        <w:rPr>
          <w:rFonts w:eastAsia="Times New Roman" w:cs="Times New Roman"/>
          <w:b/>
          <w:lang w:eastAsia="ru-RU"/>
        </w:rPr>
        <w:t xml:space="preserve">8. Перечень мероприятий подпрограммы </w:t>
      </w:r>
      <w:r>
        <w:rPr>
          <w:rFonts w:eastAsia="Times New Roman" w:cs="Times New Roman"/>
          <w:b/>
          <w:lang w:val="en-US" w:eastAsia="ru-RU"/>
        </w:rPr>
        <w:t>III</w:t>
      </w:r>
      <w:r>
        <w:rPr>
          <w:rFonts w:eastAsia="Times New Roman" w:cs="Times New Roman"/>
          <w:b/>
          <w:sz w:val="23"/>
          <w:szCs w:val="23"/>
          <w:lang w:eastAsia="ru-RU"/>
        </w:rPr>
        <w:t xml:space="preserve"> «Управление муниципальным долгом»</w:t>
      </w:r>
    </w:p>
    <w:p w:rsidR="000A3FCC" w:rsidRDefault="000A3FCC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1985"/>
        <w:gridCol w:w="850"/>
        <w:gridCol w:w="1843"/>
        <w:gridCol w:w="1134"/>
        <w:gridCol w:w="851"/>
        <w:gridCol w:w="425"/>
        <w:gridCol w:w="567"/>
        <w:gridCol w:w="425"/>
        <w:gridCol w:w="567"/>
        <w:gridCol w:w="1134"/>
        <w:gridCol w:w="1134"/>
        <w:gridCol w:w="1134"/>
        <w:gridCol w:w="1134"/>
        <w:gridCol w:w="1492"/>
      </w:tblGrid>
      <w:tr w:rsidR="000A3FCC" w:rsidTr="007F21D5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7F21D5" w:rsidTr="007F21D5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21D5" w:rsidTr="007F21D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7F21D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bCs/>
                <w:iCs/>
                <w:sz w:val="22"/>
                <w:lang w:eastAsia="ru-RU"/>
              </w:rPr>
              <w:t>1.</w:t>
            </w:r>
            <w:r w:rsidR="002C3634">
              <w:rPr>
                <w:rFonts w:eastAsiaTheme="minorEastAsia" w:cs="Times New Roman"/>
                <w:bCs/>
                <w:iCs/>
                <w:sz w:val="22"/>
                <w:lang w:eastAsia="ru-RU"/>
              </w:rPr>
              <w:t xml:space="preserve">      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01</w:t>
            </w:r>
          </w:p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595934,91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59 064,20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89 170,69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149 233,34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149 233,34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149 233,34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Бюджета Сергиево-Посадского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595934,91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59 064,20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89 170,69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149 233,34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149 233,34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149 233,34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01.01</w:t>
            </w:r>
          </w:p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Обслуживание муниципального долга по бюджетным кредитам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7 124,4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1 419,60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1 401,60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1 401,60</w:t>
            </w:r>
          </w:p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1 401,60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7 124,4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1 419,60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1 401,60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1 401,60</w:t>
            </w:r>
          </w:p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1 401,60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Оплата процентов                 по бюджетным кредитам (да-1, нет-0)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01.02</w:t>
            </w:r>
          </w:p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Обслуживание муниципального долга по коммерческим кредитам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588810,51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57564,20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87 751,09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147 831,74</w:t>
            </w:r>
          </w:p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147 831,74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147 831,74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588810,51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57564,20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87 751,09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147 831,74</w:t>
            </w:r>
          </w:p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147 831,74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147 831,74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Оплата процентов по коммерческим кредитам </w:t>
            </w:r>
          </w:p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III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«Управление муниципальным долгом»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>2023-2027 гг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595934,91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59 064,20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89 170,69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149 233,34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149 233,34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149 233,34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595934,91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59 064,20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89 170,69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149 233,34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149 233,34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149 233,34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7F21D5" w:rsidTr="007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:rsidR="000A3FCC" w:rsidRDefault="000A3FCC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046B2A" w:rsidRDefault="00046B2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046B2A" w:rsidRDefault="00046B2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046B2A" w:rsidRDefault="00046B2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046B2A" w:rsidRDefault="00046B2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046B2A" w:rsidRDefault="00046B2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046B2A" w:rsidRDefault="00046B2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046B2A" w:rsidRDefault="00046B2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046B2A" w:rsidRDefault="00046B2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046B2A" w:rsidRDefault="00046B2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046B2A" w:rsidRDefault="00046B2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8413B1" w:rsidRDefault="008413B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8413B1" w:rsidRDefault="008413B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8413B1" w:rsidRDefault="008413B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046B2A" w:rsidRDefault="00046B2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046B2A" w:rsidRDefault="00046B2A" w:rsidP="004B469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945E71" w:rsidRDefault="00945E71" w:rsidP="004B469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046B2A" w:rsidRDefault="00046B2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046B2A" w:rsidRDefault="00046B2A" w:rsidP="00046B2A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3"/>
          <w:szCs w:val="23"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9. Перечень мероприятий подпрограммы </w:t>
      </w:r>
      <w:r>
        <w:rPr>
          <w:rFonts w:eastAsia="Times New Roman" w:cs="Times New Roman"/>
          <w:b/>
          <w:lang w:val="en-US" w:eastAsia="ru-RU"/>
        </w:rPr>
        <w:t>IV</w:t>
      </w:r>
      <w:r>
        <w:rPr>
          <w:rFonts w:eastAsia="Times New Roman" w:cs="Times New Roman"/>
          <w:b/>
          <w:sz w:val="23"/>
          <w:szCs w:val="23"/>
          <w:lang w:eastAsia="ru-RU"/>
        </w:rPr>
        <w:t xml:space="preserve"> «Управление муниципальными финансами»</w:t>
      </w:r>
    </w:p>
    <w:p w:rsidR="00046B2A" w:rsidRDefault="00046B2A" w:rsidP="00046B2A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80" w:tblpY="2026"/>
        <w:tblW w:w="1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93"/>
        <w:gridCol w:w="1134"/>
        <w:gridCol w:w="1985"/>
        <w:gridCol w:w="1124"/>
        <w:gridCol w:w="2977"/>
        <w:gridCol w:w="708"/>
        <w:gridCol w:w="709"/>
        <w:gridCol w:w="709"/>
        <w:gridCol w:w="577"/>
        <w:gridCol w:w="1691"/>
      </w:tblGrid>
      <w:tr w:rsidR="00945E71" w:rsidTr="00945E71">
        <w:tc>
          <w:tcPr>
            <w:tcW w:w="913" w:type="dxa"/>
            <w:vMerge w:val="restart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693" w:type="dxa"/>
            <w:vMerge w:val="restart"/>
          </w:tcPr>
          <w:p w:rsidR="00945E71" w:rsidRDefault="00945E71" w:rsidP="00945E7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24" w:type="dxa"/>
            <w:vMerge w:val="restart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5680" w:type="dxa"/>
            <w:gridSpan w:val="5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691" w:type="dxa"/>
            <w:vMerge w:val="restart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945E71" w:rsidTr="00945E71">
        <w:tc>
          <w:tcPr>
            <w:tcW w:w="913" w:type="dxa"/>
            <w:vMerge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vMerge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708" w:type="dxa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709" w:type="dxa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2026год </w:t>
            </w:r>
          </w:p>
        </w:tc>
        <w:tc>
          <w:tcPr>
            <w:tcW w:w="577" w:type="dxa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691" w:type="dxa"/>
            <w:vMerge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5E71" w:rsidTr="00945E71">
        <w:trPr>
          <w:trHeight w:val="255"/>
        </w:trPr>
        <w:tc>
          <w:tcPr>
            <w:tcW w:w="913" w:type="dxa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93" w:type="dxa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24" w:type="dxa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77" w:type="dxa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8" w:type="dxa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77" w:type="dxa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91" w:type="dxa"/>
          </w:tcPr>
          <w:p w:rsidR="00945E71" w:rsidRDefault="00945E71" w:rsidP="00945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</w:tbl>
    <w:p w:rsidR="000A3FCC" w:rsidRDefault="000A3FCC">
      <w:pPr>
        <w:pStyle w:val="ConsPlusNonformat"/>
        <w:jc w:val="both"/>
      </w:pPr>
    </w:p>
    <w:tbl>
      <w:tblPr>
        <w:tblStyle w:val="10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5"/>
        <w:gridCol w:w="2693"/>
        <w:gridCol w:w="1134"/>
        <w:gridCol w:w="1985"/>
        <w:gridCol w:w="6804"/>
        <w:gridCol w:w="1667"/>
      </w:tblGrid>
      <w:tr w:rsidR="000A3FCC" w:rsidTr="00046B2A">
        <w:trPr>
          <w:trHeight w:val="282"/>
        </w:trPr>
        <w:tc>
          <w:tcPr>
            <w:tcW w:w="885" w:type="dxa"/>
            <w:vMerge w:val="restart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693" w:type="dxa"/>
            <w:vMerge w:val="restart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50</w:t>
            </w:r>
          </w:p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Разработка проекта бюджета и исполнение бюджета городского округа</w:t>
            </w:r>
          </w:p>
        </w:tc>
        <w:tc>
          <w:tcPr>
            <w:tcW w:w="1134" w:type="dxa"/>
            <w:vMerge w:val="restart"/>
          </w:tcPr>
          <w:p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4" w:type="dxa"/>
            <w:vMerge w:val="restart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0A3FCC" w:rsidTr="00046B2A">
        <w:trPr>
          <w:trHeight w:val="282"/>
        </w:trPr>
        <w:tc>
          <w:tcPr>
            <w:tcW w:w="885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4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85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4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85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4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85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4" w:type="dxa"/>
            <w:vMerge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85" w:type="dxa"/>
            <w:vMerge w:val="restart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693" w:type="dxa"/>
            <w:vMerge w:val="restart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50.01</w:t>
            </w:r>
          </w:p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34" w:type="dxa"/>
            <w:vMerge w:val="restart"/>
          </w:tcPr>
          <w:p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4" w:type="dxa"/>
            <w:vMerge w:val="restart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0A3FCC" w:rsidTr="00046B2A">
        <w:trPr>
          <w:trHeight w:val="282"/>
        </w:trPr>
        <w:tc>
          <w:tcPr>
            <w:tcW w:w="885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4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85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4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570"/>
        </w:trPr>
        <w:tc>
          <w:tcPr>
            <w:tcW w:w="885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4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2695"/>
        <w:gridCol w:w="1134"/>
        <w:gridCol w:w="1985"/>
        <w:gridCol w:w="992"/>
        <w:gridCol w:w="709"/>
        <w:gridCol w:w="567"/>
        <w:gridCol w:w="567"/>
        <w:gridCol w:w="567"/>
        <w:gridCol w:w="567"/>
        <w:gridCol w:w="708"/>
        <w:gridCol w:w="709"/>
        <w:gridCol w:w="709"/>
        <w:gridCol w:w="709"/>
        <w:gridCol w:w="1672"/>
      </w:tblGrid>
      <w:tr w:rsidR="000A3FCC" w:rsidTr="00046B2A">
        <w:trPr>
          <w:trHeight w:val="46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 xml:space="preserve">Прогноз представлен в финансовое управление администрации городского округа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A3FCC" w:rsidTr="00046B2A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A3FCC" w:rsidTr="00046B2A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10"/>
        <w:tblW w:w="1513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129"/>
        <w:gridCol w:w="1985"/>
        <w:gridCol w:w="6809"/>
        <w:gridCol w:w="1667"/>
      </w:tblGrid>
      <w:tr w:rsidR="000A3FCC" w:rsidTr="00046B2A">
        <w:trPr>
          <w:trHeight w:val="282"/>
        </w:trPr>
        <w:tc>
          <w:tcPr>
            <w:tcW w:w="851" w:type="dxa"/>
            <w:vMerge w:val="restart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1.3</w:t>
            </w:r>
          </w:p>
        </w:tc>
        <w:tc>
          <w:tcPr>
            <w:tcW w:w="2693" w:type="dxa"/>
            <w:vMerge w:val="restart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50.02</w:t>
            </w:r>
          </w:p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29" w:type="dxa"/>
            <w:vMerge w:val="restart"/>
          </w:tcPr>
          <w:p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9" w:type="dxa"/>
            <w:vMerge w:val="restart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0A3FCC" w:rsidTr="00046B2A">
        <w:trPr>
          <w:trHeight w:val="282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515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2695"/>
        <w:gridCol w:w="1134"/>
        <w:gridCol w:w="1985"/>
        <w:gridCol w:w="992"/>
        <w:gridCol w:w="709"/>
        <w:gridCol w:w="567"/>
        <w:gridCol w:w="567"/>
        <w:gridCol w:w="567"/>
        <w:gridCol w:w="567"/>
        <w:gridCol w:w="708"/>
        <w:gridCol w:w="709"/>
        <w:gridCol w:w="709"/>
        <w:gridCol w:w="709"/>
        <w:gridCol w:w="1672"/>
      </w:tblGrid>
      <w:tr w:rsidR="000A3FCC" w:rsidTr="00046B2A">
        <w:trPr>
          <w:trHeight w:val="46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Прогноз поступлений налоговых и неналоговых доходов на предстоящий месяц сформирован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  <w:p w:rsidR="000A3FCC" w:rsidRDefault="000A3FCC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:rsidR="000A3FCC" w:rsidRDefault="000A3FC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A3FCC" w:rsidTr="00046B2A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A3FCC" w:rsidTr="00046B2A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10"/>
        <w:tblW w:w="1513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129"/>
        <w:gridCol w:w="1985"/>
        <w:gridCol w:w="6809"/>
        <w:gridCol w:w="1667"/>
      </w:tblGrid>
      <w:tr w:rsidR="000A3FCC" w:rsidTr="00046B2A">
        <w:trPr>
          <w:trHeight w:val="515"/>
        </w:trPr>
        <w:tc>
          <w:tcPr>
            <w:tcW w:w="851" w:type="dxa"/>
            <w:vMerge w:val="restart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51</w:t>
            </w:r>
          </w:p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Снижение уровня задолженности по налоговым платежам</w:t>
            </w:r>
          </w:p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:rsidR="000A3FCC" w:rsidRDefault="000A3FCC">
            <w:pPr>
              <w:suppressAutoHyphens w:val="0"/>
              <w:rPr>
                <w:rFonts w:cs="Times New Roman"/>
                <w:sz w:val="22"/>
              </w:rPr>
            </w:pPr>
          </w:p>
        </w:tc>
        <w:tc>
          <w:tcPr>
            <w:tcW w:w="1129" w:type="dxa"/>
            <w:vMerge w:val="restart"/>
          </w:tcPr>
          <w:p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9" w:type="dxa"/>
            <w:vMerge w:val="restart"/>
          </w:tcPr>
          <w:p w:rsidR="000A3FCC" w:rsidRDefault="002C3634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Управление       инвестиций</w:t>
            </w:r>
          </w:p>
        </w:tc>
      </w:tr>
      <w:tr w:rsidR="000A3FCC" w:rsidTr="00046B2A">
        <w:trPr>
          <w:trHeight w:val="515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515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515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397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51" w:type="dxa"/>
            <w:vMerge w:val="restart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2.1.</w:t>
            </w:r>
          </w:p>
        </w:tc>
        <w:tc>
          <w:tcPr>
            <w:tcW w:w="2693" w:type="dxa"/>
            <w:vMerge w:val="restart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Мероприятие 51.01</w:t>
            </w:r>
          </w:p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129" w:type="dxa"/>
            <w:vMerge w:val="restart"/>
          </w:tcPr>
          <w:p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9" w:type="dxa"/>
            <w:vMerge w:val="restart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Управление       инвестиций</w:t>
            </w:r>
          </w:p>
        </w:tc>
      </w:tr>
      <w:tr w:rsidR="000A3FCC" w:rsidTr="00046B2A">
        <w:trPr>
          <w:trHeight w:val="282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253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134"/>
        <w:gridCol w:w="1985"/>
        <w:gridCol w:w="992"/>
        <w:gridCol w:w="709"/>
        <w:gridCol w:w="567"/>
        <w:gridCol w:w="567"/>
        <w:gridCol w:w="567"/>
        <w:gridCol w:w="567"/>
        <w:gridCol w:w="708"/>
        <w:gridCol w:w="709"/>
        <w:gridCol w:w="709"/>
        <w:gridCol w:w="709"/>
        <w:gridCol w:w="1672"/>
      </w:tblGrid>
      <w:tr w:rsidR="000A3FCC" w:rsidTr="00046B2A">
        <w:trPr>
          <w:trHeight w:val="46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0A3FCC" w:rsidRDefault="000A3FCC">
            <w:pPr>
              <w:pBdr>
                <w:bottom w:val="single" w:sz="12" w:space="1" w:color="auto"/>
              </w:pBdr>
              <w:suppressAutoHyphens w:val="0"/>
              <w:rPr>
                <w:rFonts w:cs="Times New Roman"/>
                <w:sz w:val="22"/>
              </w:rPr>
            </w:pPr>
          </w:p>
          <w:p w:rsidR="000A3FCC" w:rsidRDefault="002C3634">
            <w:pPr>
              <w:pBdr>
                <w:bottom w:val="single" w:sz="12" w:space="1" w:color="auto"/>
              </w:pBd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2"/>
              </w:rPr>
              <w:t xml:space="preserve">Снижение задолженности по налоговым платежам перед консолидированным бюджетом Московской области за отчетный год 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  <w:p w:rsidR="000A3FCC" w:rsidRDefault="000A3FCC">
            <w:pPr>
              <w:pBdr>
                <w:bottom w:val="single" w:sz="12" w:space="1" w:color="auto"/>
              </w:pBd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0A3FCC" w:rsidRDefault="000A3FCC">
            <w:pPr>
              <w:pBdr>
                <w:bottom w:val="single" w:sz="12" w:space="1" w:color="auto"/>
              </w:pBdr>
              <w:suppressAutoHyphens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A3FCC" w:rsidTr="00046B2A">
        <w:trPr>
          <w:trHeight w:val="46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A3FCC" w:rsidTr="00046B2A">
        <w:trPr>
          <w:trHeight w:val="46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A3FCC" w:rsidTr="00046B2A">
        <w:trPr>
          <w:trHeight w:val="469"/>
        </w:trPr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2C3634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</w:rPr>
              <w:t xml:space="preserve">Увеличение налоговых и неналоговых  доходов местного бюджета </w:t>
            </w:r>
          </w:p>
          <w:p w:rsidR="000A3FCC" w:rsidRDefault="002C3634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(да-1, нет-0)</w:t>
            </w:r>
          </w:p>
          <w:p w:rsidR="000A3FCC" w:rsidRDefault="000A3FCC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A3FCC" w:rsidTr="00046B2A">
        <w:trPr>
          <w:trHeight w:val="469"/>
        </w:trPr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A3FCC" w:rsidTr="00046B2A">
        <w:trPr>
          <w:trHeight w:val="469"/>
        </w:trPr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FCC" w:rsidRDefault="000A3F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IV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«Управление муниципальными финансами»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>2023-2027 гг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68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:rsidR="000A3FCC" w:rsidRDefault="000A3FCC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 w:rsidP="004B4698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4B4698" w:rsidRDefault="004B4698" w:rsidP="004B4698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2C3634" w:rsidRDefault="002C3634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227AA2" w:rsidRDefault="00227AA2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227AA2" w:rsidRDefault="00227AA2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227AA2" w:rsidRDefault="00227AA2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227AA2" w:rsidRDefault="00227AA2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227AA2" w:rsidRDefault="00227AA2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8413B1" w:rsidRDefault="008413B1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8413B1" w:rsidRDefault="008413B1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8413B1" w:rsidRDefault="008413B1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1B63B5" w:rsidRDefault="001B63B5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0A3FCC" w:rsidRDefault="002C363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10. Перечень мероприятий подпрограммы </w:t>
      </w:r>
      <w:r>
        <w:rPr>
          <w:rFonts w:eastAsia="Times New Roman" w:cs="Times New Roman"/>
          <w:b/>
          <w:sz w:val="24"/>
          <w:szCs w:val="24"/>
          <w:lang w:val="en-US" w:eastAsia="ru-RU"/>
        </w:rPr>
        <w:t>V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«Обеспечивающая подпрограмма».</w:t>
      </w:r>
    </w:p>
    <w:p w:rsidR="000A3FCC" w:rsidRDefault="000A3FCC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tbl>
      <w:tblPr>
        <w:tblW w:w="1502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6"/>
        <w:gridCol w:w="2713"/>
        <w:gridCol w:w="1418"/>
        <w:gridCol w:w="1984"/>
        <w:gridCol w:w="1473"/>
        <w:gridCol w:w="1134"/>
        <w:gridCol w:w="992"/>
        <w:gridCol w:w="992"/>
        <w:gridCol w:w="992"/>
        <w:gridCol w:w="993"/>
        <w:gridCol w:w="1559"/>
      </w:tblGrid>
      <w:tr w:rsidR="002C3634" w:rsidTr="001B63B5">
        <w:trPr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2C3634" w:rsidTr="001B63B5">
        <w:trPr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3634" w:rsidTr="001B63B5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Основное мероприятие 01</w:t>
            </w:r>
          </w:p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D55AA1" w:rsidRDefault="0096536A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 w:rsidRPr="00D55AA1">
              <w:rPr>
                <w:rFonts w:cs="Times New Roman"/>
                <w:b/>
                <w:iCs/>
                <w:sz w:val="16"/>
                <w:szCs w:val="16"/>
                <w:lang w:val="en-US"/>
              </w:rPr>
              <w:t>2</w:t>
            </w:r>
            <w:r w:rsidR="004D0678">
              <w:rPr>
                <w:rFonts w:cs="Times New Roman"/>
                <w:b/>
                <w:iCs/>
                <w:sz w:val="16"/>
                <w:szCs w:val="16"/>
                <w:lang w:val="en-US"/>
              </w:rPr>
              <w:t> </w:t>
            </w:r>
            <w:r w:rsidR="004D0678">
              <w:rPr>
                <w:rFonts w:cs="Times New Roman"/>
                <w:b/>
                <w:iCs/>
                <w:sz w:val="16"/>
                <w:szCs w:val="16"/>
              </w:rPr>
              <w:t>679 796,73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4D0678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661 449,52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4D0678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500337,19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506 100,01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506 100,01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506 100,01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4F" w:rsidRDefault="00181F4F" w:rsidP="00181F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11669,82</w:t>
            </w:r>
          </w:p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11669,82</w:t>
            </w:r>
          </w:p>
          <w:p w:rsidR="00181F4F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181F4F" w:rsidRDefault="00181F4F" w:rsidP="009653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2 668 416,92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D10554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649779,70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4D0678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500337,19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506 100,01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506 100,01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506 100,01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01.01</w:t>
            </w:r>
          </w:p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D55AA1" w:rsidRDefault="004D0678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19 030,47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4D0678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4 939,48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3 556,67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3 511,44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3 511,44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3 511,44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4D0678" w:rsidRDefault="004D0678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4D0678">
              <w:rPr>
                <w:rFonts w:cs="Times New Roman"/>
                <w:iCs/>
                <w:sz w:val="16"/>
                <w:szCs w:val="16"/>
              </w:rPr>
              <w:t>19 030,47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4D0678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4 939,48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3 556,67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3 511,44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3 511,44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3 511,44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01.02</w:t>
            </w:r>
          </w:p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Расходы на обеспечение деятельности администрации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D55AA1" w:rsidRDefault="004D0678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1 847 343,52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853984" w:rsidRDefault="004D0678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446 922,49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344 295,72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352 041,77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352 041,77</w:t>
            </w:r>
          </w:p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352 041,77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11 149,03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11 149,03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853984" w:rsidRDefault="0096536A" w:rsidP="00181F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</w:t>
            </w:r>
            <w:r w:rsidR="00181F4F">
              <w:rPr>
                <w:rFonts w:cs="Times New Roman"/>
                <w:iCs/>
                <w:sz w:val="16"/>
                <w:szCs w:val="16"/>
              </w:rPr>
              <w:t> 836 194,50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853984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435 773,47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344 295,72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352 041,77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352 041,77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352 041,77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1.3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01.05</w:t>
            </w:r>
          </w:p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D55AA1" w:rsidRDefault="004D0678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193 961,95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45 730,05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37 414,30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36 939,20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36 939,20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36 939,20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520,81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520,81</w:t>
            </w:r>
          </w:p>
          <w:p w:rsidR="00181F4F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округа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4D0678" w:rsidP="00181F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193</w:t>
            </w:r>
            <w:r w:rsidR="00181F4F">
              <w:rPr>
                <w:rFonts w:cs="Times New Roman"/>
                <w:iCs/>
                <w:sz w:val="16"/>
                <w:szCs w:val="16"/>
              </w:rPr>
              <w:t> 441,14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81F4F" w:rsidP="00181F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45 209,24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37 414,30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36 939,20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36 939,20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36 939,20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1.4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01.07</w:t>
            </w:r>
          </w:p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D55AA1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617 905,31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163 324,21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114 739,30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113 280,60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113 280,60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113 280,60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Администрация городского округа</w:t>
            </w: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/>
          <w:jc w:val="center"/>
        </w:trPr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832132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617 905,31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832132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163 324,21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114 739,30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113 280,60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113 280,60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113 280,60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«Хозяйственно-эксплуатационный центр» Сергиево-Посадского городского округа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D55AA1" w:rsidRDefault="00181F4F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423 791,44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</w:rPr>
              <w:t>109 328,13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77 963,20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76 971,60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76 971,60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76 971,60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/>
          <w:jc w:val="center"/>
        </w:trPr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1.4.1</w:t>
            </w: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BC13FF" w:rsidRDefault="00181F4F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423 791,44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13332A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109 328,13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77 963,20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76 971,60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76 971,60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76 971,60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Обеспечение деятельности муниципального казенного учреждения «Центр муниципальных закупок» Сергиево-Посадского городского округа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D55AA1" w:rsidRDefault="00181F4F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81 592,44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81F4F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18 630,94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15 891,80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15 689,90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15 689,90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15 689,90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/>
          <w:jc w:val="center"/>
        </w:trPr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1.4.2</w:t>
            </w: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81F4F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81 592,44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81F4F" w:rsidP="00181F4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18 630,94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15 891,80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15 689,90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15 689,90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15 689,90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Муниципальное казенное учреждение «Фонд земельных ресурсов» Сергиево-Посадского городского округа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D55AA1" w:rsidRDefault="00181F4F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112 521,43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81F4F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29 779,83</w:t>
            </w:r>
          </w:p>
          <w:p w:rsidR="0096536A" w:rsidRDefault="0096536A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20 884,30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20 619,10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20 619,10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20 619,10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1.4.3</w:t>
            </w: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81F4F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112 521,43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4F" w:rsidRDefault="00181F4F" w:rsidP="00181F4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29 779,83</w:t>
            </w:r>
          </w:p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20 884,30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20 619,10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20 619,10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20 619,10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1.5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01.08</w:t>
            </w:r>
          </w:p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D55AA1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D55AA1">
              <w:rPr>
                <w:rFonts w:cs="Times New Roman"/>
                <w:b/>
                <w:iCs/>
                <w:sz w:val="16"/>
                <w:szCs w:val="16"/>
              </w:rPr>
              <w:t>1 555,50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243,30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331,20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327,00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327,00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Отдел по мобилизационной подготовке</w:t>
            </w: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1 555,50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243,30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331,20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327,00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327,00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Основное мероприятие 03</w:t>
            </w:r>
          </w:p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D55AA1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D55AA1">
              <w:rPr>
                <w:rFonts w:cs="Times New Roman"/>
                <w:b/>
                <w:iCs/>
                <w:sz w:val="16"/>
                <w:szCs w:val="16"/>
              </w:rPr>
              <w:t>1 377,50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Отдел муниципальной службы и кадров</w:t>
            </w: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1 377,50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03.02</w:t>
            </w:r>
          </w:p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Cs/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1 377,50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1 377,50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V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«Обеспечивающая подпрограмма»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>2023-2027 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727918" w:rsidP="009304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</w:t>
            </w:r>
            <w:r w:rsidR="009304EF">
              <w:rPr>
                <w:rFonts w:cs="Times New Roman"/>
                <w:b/>
                <w:iCs/>
                <w:sz w:val="16"/>
                <w:szCs w:val="16"/>
              </w:rPr>
              <w:t> 681 174,24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9304E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661 449,52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9304E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500 611,69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506 371,01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506 371,01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506 371,01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9304E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11 669,82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9304E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11 669,82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727918" w:rsidP="009304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</w:t>
            </w:r>
            <w:r w:rsidR="009304EF">
              <w:rPr>
                <w:rFonts w:cs="Times New Roman"/>
                <w:b/>
                <w:iCs/>
                <w:sz w:val="16"/>
                <w:szCs w:val="16"/>
              </w:rPr>
              <w:t> 669 504,42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9304E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649 779,70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9304E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500 611,69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506 371,01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506 371,01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506 371,01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0A3FCC" w:rsidRDefault="000A3FCC">
      <w:pPr>
        <w:rPr>
          <w:rFonts w:cs="Times New Roman"/>
          <w:sz w:val="24"/>
          <w:szCs w:val="24"/>
        </w:rPr>
      </w:pPr>
    </w:p>
    <w:p w:rsidR="000A3FCC" w:rsidRDefault="000A3FCC">
      <w:pPr>
        <w:rPr>
          <w:rFonts w:cs="Times New Roman"/>
          <w:sz w:val="24"/>
          <w:szCs w:val="24"/>
        </w:rPr>
      </w:pPr>
    </w:p>
    <w:p w:rsidR="00C36BF5" w:rsidRDefault="00C36BF5">
      <w:pPr>
        <w:rPr>
          <w:rFonts w:cs="Times New Roman"/>
          <w:sz w:val="24"/>
          <w:szCs w:val="24"/>
        </w:rPr>
      </w:pPr>
    </w:p>
    <w:p w:rsidR="00C36BF5" w:rsidRDefault="00C36BF5">
      <w:pPr>
        <w:rPr>
          <w:rFonts w:cs="Times New Roman"/>
          <w:sz w:val="24"/>
          <w:szCs w:val="24"/>
        </w:rPr>
      </w:pPr>
    </w:p>
    <w:p w:rsidR="00C36BF5" w:rsidRDefault="00C36BF5">
      <w:pPr>
        <w:rPr>
          <w:rFonts w:cs="Times New Roman"/>
          <w:sz w:val="24"/>
          <w:szCs w:val="24"/>
        </w:rPr>
      </w:pPr>
    </w:p>
    <w:p w:rsidR="00C36BF5" w:rsidRDefault="00C36BF5">
      <w:pPr>
        <w:rPr>
          <w:rFonts w:cs="Times New Roman"/>
          <w:sz w:val="24"/>
          <w:szCs w:val="24"/>
        </w:rPr>
      </w:pPr>
    </w:p>
    <w:p w:rsidR="008413B1" w:rsidRDefault="008413B1">
      <w:pPr>
        <w:rPr>
          <w:rFonts w:cs="Times New Roman"/>
          <w:sz w:val="24"/>
          <w:szCs w:val="24"/>
        </w:rPr>
      </w:pPr>
    </w:p>
    <w:p w:rsidR="008413B1" w:rsidRDefault="008413B1">
      <w:pPr>
        <w:rPr>
          <w:rFonts w:cs="Times New Roman"/>
          <w:sz w:val="24"/>
          <w:szCs w:val="24"/>
        </w:rPr>
      </w:pPr>
    </w:p>
    <w:p w:rsidR="008413B1" w:rsidRDefault="008413B1">
      <w:pPr>
        <w:rPr>
          <w:rFonts w:cs="Times New Roman"/>
          <w:sz w:val="24"/>
          <w:szCs w:val="24"/>
        </w:rPr>
      </w:pPr>
    </w:p>
    <w:p w:rsidR="008413B1" w:rsidRDefault="008413B1">
      <w:pPr>
        <w:rPr>
          <w:rFonts w:cs="Times New Roman"/>
          <w:sz w:val="24"/>
          <w:szCs w:val="24"/>
        </w:rPr>
      </w:pPr>
    </w:p>
    <w:p w:rsidR="008413B1" w:rsidRDefault="008413B1">
      <w:pPr>
        <w:rPr>
          <w:rFonts w:cs="Times New Roman"/>
          <w:sz w:val="24"/>
          <w:szCs w:val="24"/>
        </w:rPr>
      </w:pPr>
    </w:p>
    <w:p w:rsidR="008413B1" w:rsidRDefault="008413B1">
      <w:pPr>
        <w:rPr>
          <w:rFonts w:cs="Times New Roman"/>
          <w:sz w:val="24"/>
          <w:szCs w:val="24"/>
        </w:rPr>
      </w:pPr>
    </w:p>
    <w:p w:rsidR="00C36BF5" w:rsidRDefault="00C36BF5">
      <w:pPr>
        <w:rPr>
          <w:rFonts w:cs="Times New Roman"/>
          <w:sz w:val="24"/>
          <w:szCs w:val="24"/>
        </w:rPr>
      </w:pPr>
    </w:p>
    <w:p w:rsidR="00C36BF5" w:rsidRDefault="00C36BF5">
      <w:pPr>
        <w:rPr>
          <w:rFonts w:cs="Times New Roman"/>
          <w:sz w:val="24"/>
          <w:szCs w:val="24"/>
        </w:rPr>
      </w:pPr>
    </w:p>
    <w:p w:rsidR="000A3FCC" w:rsidRDefault="000A3FCC">
      <w:pPr>
        <w:rPr>
          <w:rFonts w:cs="Times New Roman"/>
          <w:sz w:val="24"/>
          <w:szCs w:val="24"/>
        </w:rPr>
      </w:pPr>
    </w:p>
    <w:p w:rsidR="00D55AA1" w:rsidRDefault="00D55AA1">
      <w:pPr>
        <w:rPr>
          <w:rFonts w:cs="Times New Roman"/>
          <w:sz w:val="24"/>
          <w:szCs w:val="24"/>
        </w:rPr>
      </w:pPr>
    </w:p>
    <w:p w:rsidR="000A3FCC" w:rsidRDefault="000A3FCC">
      <w:pPr>
        <w:rPr>
          <w:rFonts w:cs="Times New Roman"/>
          <w:sz w:val="24"/>
          <w:szCs w:val="24"/>
        </w:rPr>
      </w:pPr>
    </w:p>
    <w:p w:rsidR="000A3FCC" w:rsidRDefault="000A3FCC">
      <w:pPr>
        <w:rPr>
          <w:rFonts w:cs="Times New Roman"/>
          <w:sz w:val="24"/>
          <w:szCs w:val="24"/>
        </w:rPr>
      </w:pPr>
    </w:p>
    <w:p w:rsidR="000A3FCC" w:rsidRDefault="000A3FCC">
      <w:pPr>
        <w:rPr>
          <w:rFonts w:cs="Times New Roman"/>
          <w:sz w:val="24"/>
          <w:szCs w:val="24"/>
        </w:rPr>
      </w:pPr>
    </w:p>
    <w:p w:rsidR="000A3FCC" w:rsidRDefault="002C3634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ab/>
      </w:r>
      <w:r>
        <w:rPr>
          <w:rFonts w:eastAsia="Times New Roman" w:cs="Times New Roman"/>
          <w:b/>
          <w:sz w:val="24"/>
          <w:szCs w:val="24"/>
          <w:lang w:eastAsia="ru-RU"/>
        </w:rPr>
        <w:t>11.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:rsidR="000A3FCC" w:rsidRDefault="000A3FCC">
      <w:pPr>
        <w:tabs>
          <w:tab w:val="center" w:pos="4153"/>
          <w:tab w:val="right" w:pos="8306"/>
        </w:tabs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1.Координатор (координаторы) муниципальной программы организовывает работу, направленную на: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достижение цели (целей) и показателей муниципальной программы.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>
        <w:rPr>
          <w:rFonts w:ascii="Times New Roman" w:hAnsi="Times New Roman" w:cs="Times New Roman"/>
          <w:sz w:val="24"/>
          <w:szCs w:val="24"/>
        </w:rPr>
        <w:t>2. Муниципальный заказчик программы (подпрограммы):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0A3FCC" w:rsidRDefault="002C3634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0"/>
      <w:bookmarkEnd w:id="3"/>
      <w:r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(подпрограммы); 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экономики ежеквартальный  отчёт о реализации муниципальной программы;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Start w:id="5" w:name="Par218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>
        <w:rPr>
          <w:rFonts w:ascii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0A3FCC" w:rsidRDefault="002C36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обеспечивает ввод в подсистему ГАСУ МО информацию. 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Ответственный за выполнение мероприятия: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:rsidR="000A3FCC" w:rsidRDefault="002C363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36BF5" w:rsidRDefault="00C36BF5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36BF5" w:rsidRDefault="00C36BF5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2C3634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12. Состав, форма и сроки представления отчетности о ходе</w:t>
      </w:r>
    </w:p>
    <w:p w:rsidR="000A3FCC" w:rsidRDefault="002C3634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реализации мероприятий муниципальной программы.</w:t>
      </w:r>
    </w:p>
    <w:p w:rsidR="000A3FCC" w:rsidRDefault="002C3634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highlight w:val="yellow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</w:p>
    <w:p w:rsidR="000A3FCC" w:rsidRDefault="002C363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12.1. Контроль за реализацией муниципальной программы осуществляется администрацией Сергиево-Посадского городского округа в соответствии с постановлением главы Сергиево-Посадского городского округа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 (далее – Порядок).</w:t>
      </w:r>
    </w:p>
    <w:p w:rsidR="000A3FCC" w:rsidRDefault="002C3634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0A3FCC" w:rsidRDefault="002C363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:rsidR="000A3FCC" w:rsidRDefault="002C363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:rsidR="000A3FCC" w:rsidRDefault="002C363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12.3. Оперативный (годовой) отчёт о реализации мероприятий муниципальной программы содержит:</w:t>
      </w:r>
    </w:p>
    <w:p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а) аналитическую записку, в которой отражается:</w:t>
      </w:r>
    </w:p>
    <w:p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достижения показателей муниципальной программы;</w:t>
      </w:r>
    </w:p>
    <w:p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0A3FCC" w:rsidRDefault="002C3634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0A3FCC" w:rsidRDefault="002C3634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sectPr w:rsidR="000A3FCC" w:rsidSect="002145EB">
      <w:headerReference w:type="default" r:id="rId10"/>
      <w:pgSz w:w="16838" w:h="11906" w:orient="landscape"/>
      <w:pgMar w:top="1134" w:right="567" w:bottom="426" w:left="1134" w:header="0" w:footer="523" w:gutter="0"/>
      <w:pgNumType w:start="2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19A" w:rsidRDefault="00DB119A">
      <w:r>
        <w:separator/>
      </w:r>
    </w:p>
  </w:endnote>
  <w:endnote w:type="continuationSeparator" w:id="0">
    <w:p w:rsidR="00DB119A" w:rsidRDefault="00DB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Gothic"/>
    <w:charset w:val="CC"/>
    <w:family w:val="auto"/>
    <w:pitch w:val="default"/>
    <w:sig w:usb0="00000000" w:usb1="0000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19A" w:rsidRDefault="00DB119A">
      <w:r>
        <w:separator/>
      </w:r>
    </w:p>
  </w:footnote>
  <w:footnote w:type="continuationSeparator" w:id="0">
    <w:p w:rsidR="00DB119A" w:rsidRDefault="00DB1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19A" w:rsidRDefault="00DB119A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119A" w:rsidRDefault="00DB119A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D21BF">
                            <w:rPr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" filled="f" stroked="f" strokeweight=".5pt">
              <v:textbox style="mso-fit-shape-to-text:t" inset="0,0,0,0">
                <w:txbxContent>
                  <w:p w:rsidR="00DB119A" w:rsidRDefault="00DB119A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D21BF">
                      <w:rPr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19A" w:rsidRDefault="00DB119A">
    <w:pPr>
      <w:pStyle w:val="ac"/>
    </w:pPr>
  </w:p>
  <w:p w:rsidR="00DB119A" w:rsidRDefault="00DB119A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Текстовое пол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119A" w:rsidRDefault="00DB119A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94733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8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" filled="f" stroked="f" strokeweight=".5pt">
              <v:textbox style="mso-fit-shape-to-text:t" inset="0,0,0,0">
                <w:txbxContent>
                  <w:p w:rsidR="00DB119A" w:rsidRDefault="00DB119A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94733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22FA9"/>
    <w:multiLevelType w:val="multilevel"/>
    <w:tmpl w:val="77222FA9"/>
    <w:lvl w:ilvl="0">
      <w:start w:val="1"/>
      <w:numFmt w:val="decimal"/>
      <w:lvlText w:val="%1."/>
      <w:lvlJc w:val="left"/>
      <w:pPr>
        <w:tabs>
          <w:tab w:val="left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65" w:hanging="180"/>
      </w:pPr>
    </w:lvl>
  </w:abstractNum>
  <w:abstractNum w:abstractNumId="1" w15:restartNumberingAfterBreak="0">
    <w:nsid w:val="7B651A15"/>
    <w:multiLevelType w:val="multilevel"/>
    <w:tmpl w:val="7B651A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B14"/>
    <w:rsid w:val="0000152B"/>
    <w:rsid w:val="00010264"/>
    <w:rsid w:val="00011FC1"/>
    <w:rsid w:val="00015591"/>
    <w:rsid w:val="0001560B"/>
    <w:rsid w:val="00016B14"/>
    <w:rsid w:val="00020EF7"/>
    <w:rsid w:val="00030656"/>
    <w:rsid w:val="00031FA9"/>
    <w:rsid w:val="00034189"/>
    <w:rsid w:val="00035CDE"/>
    <w:rsid w:val="000366B6"/>
    <w:rsid w:val="00037D75"/>
    <w:rsid w:val="00037DB9"/>
    <w:rsid w:val="00041F9E"/>
    <w:rsid w:val="00046B2A"/>
    <w:rsid w:val="000513CB"/>
    <w:rsid w:val="000519D2"/>
    <w:rsid w:val="000556D3"/>
    <w:rsid w:val="00072300"/>
    <w:rsid w:val="0007509F"/>
    <w:rsid w:val="00076CFF"/>
    <w:rsid w:val="00083088"/>
    <w:rsid w:val="0008383F"/>
    <w:rsid w:val="0008621D"/>
    <w:rsid w:val="00093027"/>
    <w:rsid w:val="000A0ACB"/>
    <w:rsid w:val="000A10D5"/>
    <w:rsid w:val="000A3FCC"/>
    <w:rsid w:val="000A436A"/>
    <w:rsid w:val="000B494C"/>
    <w:rsid w:val="000B519A"/>
    <w:rsid w:val="000C289A"/>
    <w:rsid w:val="000C443E"/>
    <w:rsid w:val="000C6346"/>
    <w:rsid w:val="000C6D51"/>
    <w:rsid w:val="000D17A3"/>
    <w:rsid w:val="000D1AF7"/>
    <w:rsid w:val="000D21BF"/>
    <w:rsid w:val="000D3434"/>
    <w:rsid w:val="000D4E77"/>
    <w:rsid w:val="000D561F"/>
    <w:rsid w:val="000E7057"/>
    <w:rsid w:val="000F1A7A"/>
    <w:rsid w:val="000F401B"/>
    <w:rsid w:val="0010049C"/>
    <w:rsid w:val="00103417"/>
    <w:rsid w:val="001044EB"/>
    <w:rsid w:val="0010780A"/>
    <w:rsid w:val="001111D6"/>
    <w:rsid w:val="001111EF"/>
    <w:rsid w:val="0011533E"/>
    <w:rsid w:val="001203E9"/>
    <w:rsid w:val="001206AF"/>
    <w:rsid w:val="00120B4C"/>
    <w:rsid w:val="0012161E"/>
    <w:rsid w:val="0012490F"/>
    <w:rsid w:val="00125E72"/>
    <w:rsid w:val="0012603B"/>
    <w:rsid w:val="001266F2"/>
    <w:rsid w:val="0013332A"/>
    <w:rsid w:val="00137B0C"/>
    <w:rsid w:val="00137CEC"/>
    <w:rsid w:val="00153076"/>
    <w:rsid w:val="0016749D"/>
    <w:rsid w:val="00176421"/>
    <w:rsid w:val="00181F4F"/>
    <w:rsid w:val="00192280"/>
    <w:rsid w:val="001A2392"/>
    <w:rsid w:val="001B2E7A"/>
    <w:rsid w:val="001B52CA"/>
    <w:rsid w:val="001B63B5"/>
    <w:rsid w:val="001C2057"/>
    <w:rsid w:val="001C4B6F"/>
    <w:rsid w:val="001C566E"/>
    <w:rsid w:val="001C79F4"/>
    <w:rsid w:val="001D48FF"/>
    <w:rsid w:val="001E6B56"/>
    <w:rsid w:val="001F0AC5"/>
    <w:rsid w:val="001F7E13"/>
    <w:rsid w:val="00203BD7"/>
    <w:rsid w:val="00204D73"/>
    <w:rsid w:val="00211071"/>
    <w:rsid w:val="00214594"/>
    <w:rsid w:val="002145EB"/>
    <w:rsid w:val="00215459"/>
    <w:rsid w:val="00215F37"/>
    <w:rsid w:val="00223E07"/>
    <w:rsid w:val="00227AA2"/>
    <w:rsid w:val="00230E00"/>
    <w:rsid w:val="002323F0"/>
    <w:rsid w:val="002348C8"/>
    <w:rsid w:val="002373CC"/>
    <w:rsid w:val="002500C6"/>
    <w:rsid w:val="0025094E"/>
    <w:rsid w:val="00250BBA"/>
    <w:rsid w:val="00251A60"/>
    <w:rsid w:val="00255510"/>
    <w:rsid w:val="0025679D"/>
    <w:rsid w:val="0026108D"/>
    <w:rsid w:val="00263AD5"/>
    <w:rsid w:val="0026636D"/>
    <w:rsid w:val="00276F5F"/>
    <w:rsid w:val="0028243C"/>
    <w:rsid w:val="0029146F"/>
    <w:rsid w:val="002A1D67"/>
    <w:rsid w:val="002A3190"/>
    <w:rsid w:val="002A3375"/>
    <w:rsid w:val="002A62AD"/>
    <w:rsid w:val="002B47C4"/>
    <w:rsid w:val="002C04C1"/>
    <w:rsid w:val="002C248C"/>
    <w:rsid w:val="002C3340"/>
    <w:rsid w:val="002C3634"/>
    <w:rsid w:val="002C72CE"/>
    <w:rsid w:val="002D0F54"/>
    <w:rsid w:val="002D5946"/>
    <w:rsid w:val="002E37F0"/>
    <w:rsid w:val="002F1AC8"/>
    <w:rsid w:val="002F203F"/>
    <w:rsid w:val="002F66F1"/>
    <w:rsid w:val="00303CA4"/>
    <w:rsid w:val="003119B6"/>
    <w:rsid w:val="00321C1F"/>
    <w:rsid w:val="00322354"/>
    <w:rsid w:val="00323997"/>
    <w:rsid w:val="00324AC3"/>
    <w:rsid w:val="0032567A"/>
    <w:rsid w:val="00346674"/>
    <w:rsid w:val="00346B99"/>
    <w:rsid w:val="00351F39"/>
    <w:rsid w:val="003536A7"/>
    <w:rsid w:val="00356FD4"/>
    <w:rsid w:val="00364389"/>
    <w:rsid w:val="003704A0"/>
    <w:rsid w:val="00370F69"/>
    <w:rsid w:val="00377077"/>
    <w:rsid w:val="0038020B"/>
    <w:rsid w:val="00380775"/>
    <w:rsid w:val="00392163"/>
    <w:rsid w:val="003A1E9C"/>
    <w:rsid w:val="003A6376"/>
    <w:rsid w:val="003B1FE9"/>
    <w:rsid w:val="003B29FB"/>
    <w:rsid w:val="003B6EBC"/>
    <w:rsid w:val="003C031A"/>
    <w:rsid w:val="003C33FC"/>
    <w:rsid w:val="003C3E57"/>
    <w:rsid w:val="003C60A1"/>
    <w:rsid w:val="003D0913"/>
    <w:rsid w:val="003D7208"/>
    <w:rsid w:val="003D7A9A"/>
    <w:rsid w:val="003D7B53"/>
    <w:rsid w:val="003E1199"/>
    <w:rsid w:val="003E41C4"/>
    <w:rsid w:val="003E6A8A"/>
    <w:rsid w:val="003E7045"/>
    <w:rsid w:val="003E7263"/>
    <w:rsid w:val="003F534D"/>
    <w:rsid w:val="003F645E"/>
    <w:rsid w:val="0040014C"/>
    <w:rsid w:val="00402382"/>
    <w:rsid w:val="00406073"/>
    <w:rsid w:val="004145AC"/>
    <w:rsid w:val="00414D65"/>
    <w:rsid w:val="004154B8"/>
    <w:rsid w:val="00415B51"/>
    <w:rsid w:val="00417139"/>
    <w:rsid w:val="0042284C"/>
    <w:rsid w:val="004400CD"/>
    <w:rsid w:val="00443CC2"/>
    <w:rsid w:val="00446E1C"/>
    <w:rsid w:val="00446F2B"/>
    <w:rsid w:val="00453C1B"/>
    <w:rsid w:val="00475518"/>
    <w:rsid w:val="004801E4"/>
    <w:rsid w:val="00484DCD"/>
    <w:rsid w:val="00485336"/>
    <w:rsid w:val="0048598E"/>
    <w:rsid w:val="004900DE"/>
    <w:rsid w:val="004909BD"/>
    <w:rsid w:val="00490CD7"/>
    <w:rsid w:val="00491CEE"/>
    <w:rsid w:val="004B1077"/>
    <w:rsid w:val="004B4698"/>
    <w:rsid w:val="004C2617"/>
    <w:rsid w:val="004C661F"/>
    <w:rsid w:val="004D0678"/>
    <w:rsid w:val="004F0B10"/>
    <w:rsid w:val="004F6925"/>
    <w:rsid w:val="00500282"/>
    <w:rsid w:val="00502EE0"/>
    <w:rsid w:val="00505F05"/>
    <w:rsid w:val="005224D6"/>
    <w:rsid w:val="00525B1C"/>
    <w:rsid w:val="00527589"/>
    <w:rsid w:val="00530B4A"/>
    <w:rsid w:val="00532C99"/>
    <w:rsid w:val="005338A4"/>
    <w:rsid w:val="00534487"/>
    <w:rsid w:val="00545A45"/>
    <w:rsid w:val="0054634B"/>
    <w:rsid w:val="005513BF"/>
    <w:rsid w:val="00554E7C"/>
    <w:rsid w:val="00567AAA"/>
    <w:rsid w:val="005731A3"/>
    <w:rsid w:val="00574E57"/>
    <w:rsid w:val="00583E7B"/>
    <w:rsid w:val="00584310"/>
    <w:rsid w:val="0059723E"/>
    <w:rsid w:val="005979F6"/>
    <w:rsid w:val="005A2498"/>
    <w:rsid w:val="005A4B56"/>
    <w:rsid w:val="005A5327"/>
    <w:rsid w:val="005A745B"/>
    <w:rsid w:val="005B43C4"/>
    <w:rsid w:val="005C035C"/>
    <w:rsid w:val="005C087E"/>
    <w:rsid w:val="005C3AB8"/>
    <w:rsid w:val="005D0C35"/>
    <w:rsid w:val="005D1052"/>
    <w:rsid w:val="005D6A0E"/>
    <w:rsid w:val="005E192C"/>
    <w:rsid w:val="005E4997"/>
    <w:rsid w:val="005E6130"/>
    <w:rsid w:val="005E71AB"/>
    <w:rsid w:val="005F4BFA"/>
    <w:rsid w:val="00601D4D"/>
    <w:rsid w:val="00603F99"/>
    <w:rsid w:val="006075E1"/>
    <w:rsid w:val="00610A85"/>
    <w:rsid w:val="00612C50"/>
    <w:rsid w:val="00615856"/>
    <w:rsid w:val="00615907"/>
    <w:rsid w:val="006171C9"/>
    <w:rsid w:val="00621BC8"/>
    <w:rsid w:val="0064032C"/>
    <w:rsid w:val="00642B72"/>
    <w:rsid w:val="00643A26"/>
    <w:rsid w:val="0064552C"/>
    <w:rsid w:val="00655F96"/>
    <w:rsid w:val="00666570"/>
    <w:rsid w:val="00671815"/>
    <w:rsid w:val="0067758A"/>
    <w:rsid w:val="0068471B"/>
    <w:rsid w:val="006855AA"/>
    <w:rsid w:val="0068666B"/>
    <w:rsid w:val="006A15B3"/>
    <w:rsid w:val="006A4A36"/>
    <w:rsid w:val="006A7230"/>
    <w:rsid w:val="006B1649"/>
    <w:rsid w:val="006B3E76"/>
    <w:rsid w:val="006B7973"/>
    <w:rsid w:val="006C063B"/>
    <w:rsid w:val="006C069D"/>
    <w:rsid w:val="006C6694"/>
    <w:rsid w:val="006D0D84"/>
    <w:rsid w:val="006D1F18"/>
    <w:rsid w:val="006D434E"/>
    <w:rsid w:val="006E2A78"/>
    <w:rsid w:val="006E4BC2"/>
    <w:rsid w:val="006E6819"/>
    <w:rsid w:val="006F0FC6"/>
    <w:rsid w:val="006F2E8B"/>
    <w:rsid w:val="006F5B63"/>
    <w:rsid w:val="006F6147"/>
    <w:rsid w:val="006F6F0E"/>
    <w:rsid w:val="00710460"/>
    <w:rsid w:val="00712003"/>
    <w:rsid w:val="007160F0"/>
    <w:rsid w:val="00720234"/>
    <w:rsid w:val="0072612F"/>
    <w:rsid w:val="00726E3C"/>
    <w:rsid w:val="00727918"/>
    <w:rsid w:val="007333E8"/>
    <w:rsid w:val="0074345C"/>
    <w:rsid w:val="00743A12"/>
    <w:rsid w:val="00746FAA"/>
    <w:rsid w:val="00753C71"/>
    <w:rsid w:val="00766AB4"/>
    <w:rsid w:val="007704DB"/>
    <w:rsid w:val="00773905"/>
    <w:rsid w:val="00785AC6"/>
    <w:rsid w:val="0078754F"/>
    <w:rsid w:val="007A15B1"/>
    <w:rsid w:val="007A170C"/>
    <w:rsid w:val="007A4604"/>
    <w:rsid w:val="007B1FC8"/>
    <w:rsid w:val="007B3C4F"/>
    <w:rsid w:val="007B41BD"/>
    <w:rsid w:val="007B7D14"/>
    <w:rsid w:val="007C36C7"/>
    <w:rsid w:val="007C4E76"/>
    <w:rsid w:val="007D0F1E"/>
    <w:rsid w:val="007D5D41"/>
    <w:rsid w:val="007D61CC"/>
    <w:rsid w:val="007E2704"/>
    <w:rsid w:val="007E7E1C"/>
    <w:rsid w:val="007F21D5"/>
    <w:rsid w:val="007F7CDE"/>
    <w:rsid w:val="008055AE"/>
    <w:rsid w:val="00815FE1"/>
    <w:rsid w:val="00822EE9"/>
    <w:rsid w:val="00832132"/>
    <w:rsid w:val="008329A4"/>
    <w:rsid w:val="008413B1"/>
    <w:rsid w:val="008459D4"/>
    <w:rsid w:val="0084668A"/>
    <w:rsid w:val="00850667"/>
    <w:rsid w:val="00850914"/>
    <w:rsid w:val="00853984"/>
    <w:rsid w:val="00853CFB"/>
    <w:rsid w:val="008601E9"/>
    <w:rsid w:val="00873358"/>
    <w:rsid w:val="00874443"/>
    <w:rsid w:val="008869AA"/>
    <w:rsid w:val="0089043C"/>
    <w:rsid w:val="00895563"/>
    <w:rsid w:val="008B49E5"/>
    <w:rsid w:val="008C0E1C"/>
    <w:rsid w:val="008D3B81"/>
    <w:rsid w:val="008D42F2"/>
    <w:rsid w:val="008D7E6B"/>
    <w:rsid w:val="008E6893"/>
    <w:rsid w:val="008F121D"/>
    <w:rsid w:val="008F15CC"/>
    <w:rsid w:val="009021C8"/>
    <w:rsid w:val="0091180B"/>
    <w:rsid w:val="009304EF"/>
    <w:rsid w:val="0093466B"/>
    <w:rsid w:val="00940020"/>
    <w:rsid w:val="00945E71"/>
    <w:rsid w:val="0096536A"/>
    <w:rsid w:val="00967A18"/>
    <w:rsid w:val="00974934"/>
    <w:rsid w:val="00994D5A"/>
    <w:rsid w:val="00995C63"/>
    <w:rsid w:val="009A43BE"/>
    <w:rsid w:val="009B4F3A"/>
    <w:rsid w:val="009B6137"/>
    <w:rsid w:val="009C436D"/>
    <w:rsid w:val="009C672A"/>
    <w:rsid w:val="009D4EA9"/>
    <w:rsid w:val="009E0778"/>
    <w:rsid w:val="009F696E"/>
    <w:rsid w:val="009F71F4"/>
    <w:rsid w:val="00A01E8D"/>
    <w:rsid w:val="00A106E3"/>
    <w:rsid w:val="00A17A66"/>
    <w:rsid w:val="00A17B10"/>
    <w:rsid w:val="00A27A99"/>
    <w:rsid w:val="00A33F58"/>
    <w:rsid w:val="00A35191"/>
    <w:rsid w:val="00A402C0"/>
    <w:rsid w:val="00A412C4"/>
    <w:rsid w:val="00A4531E"/>
    <w:rsid w:val="00A45567"/>
    <w:rsid w:val="00A60A13"/>
    <w:rsid w:val="00A61230"/>
    <w:rsid w:val="00A7042B"/>
    <w:rsid w:val="00A7066A"/>
    <w:rsid w:val="00A71310"/>
    <w:rsid w:val="00A93E4F"/>
    <w:rsid w:val="00A97B6C"/>
    <w:rsid w:val="00AA1644"/>
    <w:rsid w:val="00AA3180"/>
    <w:rsid w:val="00AC267C"/>
    <w:rsid w:val="00AC69E8"/>
    <w:rsid w:val="00AD0295"/>
    <w:rsid w:val="00AD79CF"/>
    <w:rsid w:val="00AD7B55"/>
    <w:rsid w:val="00AE24D5"/>
    <w:rsid w:val="00AE6BFE"/>
    <w:rsid w:val="00AF4C7F"/>
    <w:rsid w:val="00B00B52"/>
    <w:rsid w:val="00B22ABF"/>
    <w:rsid w:val="00B26B94"/>
    <w:rsid w:val="00B34F0C"/>
    <w:rsid w:val="00B352D6"/>
    <w:rsid w:val="00B402BA"/>
    <w:rsid w:val="00B45F6A"/>
    <w:rsid w:val="00B4618E"/>
    <w:rsid w:val="00B4702C"/>
    <w:rsid w:val="00B51486"/>
    <w:rsid w:val="00B604AD"/>
    <w:rsid w:val="00B62228"/>
    <w:rsid w:val="00B747DD"/>
    <w:rsid w:val="00B84865"/>
    <w:rsid w:val="00B8672C"/>
    <w:rsid w:val="00B8794F"/>
    <w:rsid w:val="00B92355"/>
    <w:rsid w:val="00B92C77"/>
    <w:rsid w:val="00B96D2E"/>
    <w:rsid w:val="00BA2B64"/>
    <w:rsid w:val="00BA2E0E"/>
    <w:rsid w:val="00BB0088"/>
    <w:rsid w:val="00BC13FF"/>
    <w:rsid w:val="00BD14B2"/>
    <w:rsid w:val="00BD4B45"/>
    <w:rsid w:val="00BD517F"/>
    <w:rsid w:val="00BE21E9"/>
    <w:rsid w:val="00BE29A2"/>
    <w:rsid w:val="00BE79C8"/>
    <w:rsid w:val="00BF24A7"/>
    <w:rsid w:val="00BF3762"/>
    <w:rsid w:val="00BF4044"/>
    <w:rsid w:val="00C01381"/>
    <w:rsid w:val="00C17C1C"/>
    <w:rsid w:val="00C21CB8"/>
    <w:rsid w:val="00C25012"/>
    <w:rsid w:val="00C2685A"/>
    <w:rsid w:val="00C26B87"/>
    <w:rsid w:val="00C274CA"/>
    <w:rsid w:val="00C31256"/>
    <w:rsid w:val="00C36BF5"/>
    <w:rsid w:val="00C41245"/>
    <w:rsid w:val="00C440A5"/>
    <w:rsid w:val="00C6096F"/>
    <w:rsid w:val="00C60BA2"/>
    <w:rsid w:val="00C61B91"/>
    <w:rsid w:val="00C64CAC"/>
    <w:rsid w:val="00C65B67"/>
    <w:rsid w:val="00C700DF"/>
    <w:rsid w:val="00C748C8"/>
    <w:rsid w:val="00C8163C"/>
    <w:rsid w:val="00C91B40"/>
    <w:rsid w:val="00C92284"/>
    <w:rsid w:val="00CA054A"/>
    <w:rsid w:val="00CA2616"/>
    <w:rsid w:val="00CA55D2"/>
    <w:rsid w:val="00CB6A7E"/>
    <w:rsid w:val="00CB7AC4"/>
    <w:rsid w:val="00CC5497"/>
    <w:rsid w:val="00CD2F97"/>
    <w:rsid w:val="00CD48A2"/>
    <w:rsid w:val="00CE2359"/>
    <w:rsid w:val="00CF4751"/>
    <w:rsid w:val="00D003CA"/>
    <w:rsid w:val="00D03B89"/>
    <w:rsid w:val="00D052DD"/>
    <w:rsid w:val="00D0644E"/>
    <w:rsid w:val="00D10554"/>
    <w:rsid w:val="00D20D06"/>
    <w:rsid w:val="00D26C90"/>
    <w:rsid w:val="00D32C21"/>
    <w:rsid w:val="00D337F0"/>
    <w:rsid w:val="00D3638C"/>
    <w:rsid w:val="00D44EBD"/>
    <w:rsid w:val="00D55AA1"/>
    <w:rsid w:val="00D57254"/>
    <w:rsid w:val="00D66786"/>
    <w:rsid w:val="00D7326A"/>
    <w:rsid w:val="00D77B87"/>
    <w:rsid w:val="00D8754C"/>
    <w:rsid w:val="00D913F2"/>
    <w:rsid w:val="00D94733"/>
    <w:rsid w:val="00D95C43"/>
    <w:rsid w:val="00D95D2D"/>
    <w:rsid w:val="00D96C31"/>
    <w:rsid w:val="00D97896"/>
    <w:rsid w:val="00DB07F1"/>
    <w:rsid w:val="00DB119A"/>
    <w:rsid w:val="00DB1D83"/>
    <w:rsid w:val="00DB4669"/>
    <w:rsid w:val="00DB4814"/>
    <w:rsid w:val="00DB549B"/>
    <w:rsid w:val="00DB7201"/>
    <w:rsid w:val="00DC00D2"/>
    <w:rsid w:val="00DC2B63"/>
    <w:rsid w:val="00DC5222"/>
    <w:rsid w:val="00DC7F4B"/>
    <w:rsid w:val="00DD29FB"/>
    <w:rsid w:val="00DD7525"/>
    <w:rsid w:val="00DE1EFF"/>
    <w:rsid w:val="00DE54F7"/>
    <w:rsid w:val="00DE5D62"/>
    <w:rsid w:val="00DF32EC"/>
    <w:rsid w:val="00DF5DC6"/>
    <w:rsid w:val="00E00B4A"/>
    <w:rsid w:val="00E024B6"/>
    <w:rsid w:val="00E2364A"/>
    <w:rsid w:val="00E24FA9"/>
    <w:rsid w:val="00E25756"/>
    <w:rsid w:val="00E358E0"/>
    <w:rsid w:val="00E421F0"/>
    <w:rsid w:val="00E46493"/>
    <w:rsid w:val="00E60170"/>
    <w:rsid w:val="00E60378"/>
    <w:rsid w:val="00E60F3F"/>
    <w:rsid w:val="00E66C9C"/>
    <w:rsid w:val="00E70C39"/>
    <w:rsid w:val="00E7511C"/>
    <w:rsid w:val="00E7727F"/>
    <w:rsid w:val="00E778F7"/>
    <w:rsid w:val="00E84A48"/>
    <w:rsid w:val="00E85C0A"/>
    <w:rsid w:val="00E91930"/>
    <w:rsid w:val="00E954D3"/>
    <w:rsid w:val="00E96BDE"/>
    <w:rsid w:val="00E97CBC"/>
    <w:rsid w:val="00EA4060"/>
    <w:rsid w:val="00EA5913"/>
    <w:rsid w:val="00EB3A82"/>
    <w:rsid w:val="00EB4237"/>
    <w:rsid w:val="00EC0C76"/>
    <w:rsid w:val="00EC1316"/>
    <w:rsid w:val="00ED02B4"/>
    <w:rsid w:val="00ED24D3"/>
    <w:rsid w:val="00EE6672"/>
    <w:rsid w:val="00EF2787"/>
    <w:rsid w:val="00EF7838"/>
    <w:rsid w:val="00F057A0"/>
    <w:rsid w:val="00F24A5F"/>
    <w:rsid w:val="00F27129"/>
    <w:rsid w:val="00F273DA"/>
    <w:rsid w:val="00F31245"/>
    <w:rsid w:val="00F34D93"/>
    <w:rsid w:val="00F35B39"/>
    <w:rsid w:val="00F42C1A"/>
    <w:rsid w:val="00F4677F"/>
    <w:rsid w:val="00F47C3B"/>
    <w:rsid w:val="00F569BE"/>
    <w:rsid w:val="00F653B7"/>
    <w:rsid w:val="00F70FED"/>
    <w:rsid w:val="00F74B8D"/>
    <w:rsid w:val="00F82FB7"/>
    <w:rsid w:val="00F93659"/>
    <w:rsid w:val="00F95C42"/>
    <w:rsid w:val="00FA48BF"/>
    <w:rsid w:val="00FA7EF7"/>
    <w:rsid w:val="00FB2DEC"/>
    <w:rsid w:val="00FC0713"/>
    <w:rsid w:val="00FC1E7A"/>
    <w:rsid w:val="00FC2261"/>
    <w:rsid w:val="00FC47F7"/>
    <w:rsid w:val="00FD1495"/>
    <w:rsid w:val="00FD4F03"/>
    <w:rsid w:val="00FD7C4D"/>
    <w:rsid w:val="00FF2B02"/>
    <w:rsid w:val="00FF4F6A"/>
    <w:rsid w:val="00FF7EA0"/>
    <w:rsid w:val="00FF7F95"/>
    <w:rsid w:val="14405D53"/>
    <w:rsid w:val="188E0DF0"/>
    <w:rsid w:val="1FEA0867"/>
    <w:rsid w:val="271B786C"/>
    <w:rsid w:val="31D935FB"/>
    <w:rsid w:val="337926A3"/>
    <w:rsid w:val="496E7DC3"/>
    <w:rsid w:val="4A6119A9"/>
    <w:rsid w:val="587B479B"/>
    <w:rsid w:val="5DAC770C"/>
    <w:rsid w:val="6AE61BCC"/>
    <w:rsid w:val="6F9E51CE"/>
    <w:rsid w:val="7098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3ED19-28B2-4455-A659-33AE1F28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8">
    <w:name w:val="Document Map"/>
    <w:basedOn w:val="a"/>
    <w:link w:val="a9"/>
    <w:uiPriority w:val="99"/>
    <w:semiHidden/>
    <w:unhideWhenUsed/>
    <w:qFormat/>
    <w:pPr>
      <w:suppressAutoHyphens w:val="0"/>
    </w:pPr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qFormat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qFormat/>
    <w:pPr>
      <w:spacing w:after="140" w:line="276" w:lineRule="auto"/>
    </w:pPr>
  </w:style>
  <w:style w:type="paragraph" w:styleId="af">
    <w:name w:val="index heading"/>
    <w:basedOn w:val="a"/>
    <w:next w:val="1"/>
    <w:qFormat/>
    <w:pPr>
      <w:suppressLineNumbers/>
    </w:pPr>
    <w:rPr>
      <w:rFonts w:cs="Mangal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List"/>
    <w:basedOn w:val="ae"/>
    <w:qFormat/>
    <w:rPr>
      <w:rFonts w:cs="Mangal"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hAnsi="Times New Roman"/>
      <w:sz w:val="28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hAnsi="Times New Roman"/>
      <w:sz w:val="2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f4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ConsPlusNormal">
    <w:name w:val="ConsPlusNormal"/>
    <w:link w:val="ConsPlusNormal0"/>
    <w:qFormat/>
    <w:pPr>
      <w:widowControl w:val="0"/>
      <w:suppressAutoHyphens/>
    </w:pPr>
    <w:rPr>
      <w:rFonts w:eastAsia="Times New Roman" w:cs="Calibri"/>
      <w:sz w:val="22"/>
    </w:rPr>
  </w:style>
  <w:style w:type="paragraph" w:customStyle="1" w:styleId="ConsPlusTitle">
    <w:name w:val="ConsPlusTitle"/>
    <w:qFormat/>
    <w:pPr>
      <w:widowControl w:val="0"/>
      <w:suppressAutoHyphens/>
    </w:pPr>
    <w:rPr>
      <w:rFonts w:eastAsia="Times New Roman" w:cs="Calibri"/>
      <w:b/>
      <w:sz w:val="22"/>
    </w:rPr>
  </w:style>
  <w:style w:type="paragraph" w:customStyle="1" w:styleId="af5">
    <w:name w:val="Колонтитул"/>
    <w:basedOn w:val="a"/>
    <w:qFormat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pPr>
      <w:suppressAutoHyphens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pPr>
      <w:widowControl w:val="0"/>
      <w:suppressAutoHyphens/>
    </w:pPr>
    <w:rPr>
      <w:rFonts w:ascii="Courier New" w:eastAsia="Times New Roman" w:hAnsi="Courier New" w:cs="Courier New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18"/>
      <w:szCs w:val="18"/>
    </w:r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_Текст"/>
    <w:basedOn w:val="a"/>
    <w:qFormat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13pt0pt">
    <w:name w:val="Заголовок №2 + 13 pt;Интервал 0 pt"/>
    <w:basedOn w:val="a0"/>
    <w:qFormat/>
    <w:rPr>
      <w:rFonts w:ascii="Times New Roman" w:eastAsia="Times New Roman" w:hAnsi="Times New Roman" w:cs="Times New Roman"/>
      <w:spacing w:val="0"/>
      <w:sz w:val="26"/>
      <w:szCs w:val="26"/>
      <w:lang w:val="en-US"/>
    </w:rPr>
  </w:style>
  <w:style w:type="character" w:customStyle="1" w:styleId="ConsPlusNormal0">
    <w:name w:val="ConsPlusNormal Знак"/>
    <w:link w:val="ConsPlusNormal"/>
    <w:qFormat/>
    <w:locked/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0B7E43-A724-442B-9DBD-E9426A6B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45</Pages>
  <Words>10921</Words>
  <Characters>62250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exif_MSED_47afba177c749b891f69793f24cf6ffafc542ed87ba7ce20047a1ad5db3a8f57</dc:description>
  <cp:lastModifiedBy>Анна В. Гомонова</cp:lastModifiedBy>
  <cp:revision>5</cp:revision>
  <cp:lastPrinted>2023-12-22T09:11:00Z</cp:lastPrinted>
  <dcterms:created xsi:type="dcterms:W3CDTF">2023-12-21T08:37:00Z</dcterms:created>
  <dcterms:modified xsi:type="dcterms:W3CDTF">2023-12-22T13:13:00Z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C0D33C3A755F4A57856199AE72EA174E_13</vt:lpwstr>
  </property>
</Properties>
</file>